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7541A" w14:textId="77777777" w:rsidR="001D5456" w:rsidRPr="006E43D9" w:rsidRDefault="00110C55" w:rsidP="008A7507">
      <w:pPr>
        <w:pStyle w:val="Nadpis1"/>
        <w:jc w:val="center"/>
      </w:pPr>
      <w:r w:rsidRPr="006E43D9">
        <w:t>Akční plán pro tematickou předběžnou podmínku v gesci MŽP</w:t>
      </w:r>
      <w:r w:rsidR="00D27AF2" w:rsidRPr="006E43D9">
        <w:rPr>
          <w:rFonts w:cs="Cambria"/>
        </w:rPr>
        <w:br/>
      </w:r>
      <w:r w:rsidRPr="008976C7">
        <w:rPr>
          <w:u w:val="none"/>
        </w:rPr>
        <w:t>„</w:t>
      </w:r>
      <w:r w:rsidR="00326855" w:rsidRPr="00444C3E">
        <w:rPr>
          <w:rStyle w:val="Nadpis2Char"/>
          <w:b/>
          <w:u w:val="none"/>
        </w:rPr>
        <w:t xml:space="preserve">Předcházení riziku a </w:t>
      </w:r>
      <w:r w:rsidR="00D27AF2" w:rsidRPr="00444C3E">
        <w:rPr>
          <w:rStyle w:val="Nadpis2Char"/>
          <w:b/>
          <w:u w:val="none"/>
        </w:rPr>
        <w:t>řízení</w:t>
      </w:r>
      <w:r w:rsidR="00326855" w:rsidRPr="00444C3E">
        <w:rPr>
          <w:rStyle w:val="Nadpis2Char"/>
          <w:b/>
          <w:u w:val="none"/>
        </w:rPr>
        <w:t xml:space="preserve"> rizika</w:t>
      </w:r>
      <w:r w:rsidR="00D27AF2" w:rsidRPr="00444C3E">
        <w:rPr>
          <w:rStyle w:val="Nadpis2Char"/>
          <w:b/>
          <w:u w:val="none"/>
        </w:rPr>
        <w:t>: Existence vnitrostátního nebo regionálního posuzování rizik pro zvládání katastrof s ohledem na přizpůsobení se změně klimatu</w:t>
      </w:r>
      <w:r w:rsidRPr="00444C3E">
        <w:rPr>
          <w:rStyle w:val="Nadpis2Char"/>
          <w:b/>
          <w:u w:val="none"/>
        </w:rPr>
        <w:t>“</w:t>
      </w:r>
    </w:p>
    <w:p w14:paraId="54020ED5" w14:textId="102AE288" w:rsidR="00C72A9C" w:rsidRPr="006E43D9" w:rsidRDefault="0003148F" w:rsidP="00C72A9C">
      <w:pPr>
        <w:jc w:val="center"/>
        <w:rPr>
          <w:i/>
        </w:rPr>
      </w:pPr>
      <w:r>
        <w:rPr>
          <w:i/>
        </w:rPr>
        <w:t xml:space="preserve">verze </w:t>
      </w:r>
      <w:r w:rsidR="0039049E">
        <w:rPr>
          <w:i/>
        </w:rPr>
        <w:t>6</w:t>
      </w:r>
      <w:r>
        <w:rPr>
          <w:i/>
        </w:rPr>
        <w:t xml:space="preserve">. </w:t>
      </w:r>
      <w:r w:rsidR="0039049E">
        <w:rPr>
          <w:i/>
        </w:rPr>
        <w:t>3</w:t>
      </w:r>
      <w:r>
        <w:rPr>
          <w:i/>
        </w:rPr>
        <w:t>. 2015</w:t>
      </w:r>
    </w:p>
    <w:p w14:paraId="6DFFF3B8" w14:textId="77777777" w:rsidR="00C72A9C" w:rsidRPr="006E43D9" w:rsidRDefault="00C72A9C" w:rsidP="00C72A9C">
      <w:pPr>
        <w:jc w:val="center"/>
        <w:rPr>
          <w:i/>
        </w:rPr>
      </w:pPr>
    </w:p>
    <w:p w14:paraId="0F35D1BB" w14:textId="77777777" w:rsidR="00D8521B" w:rsidRPr="006E43D9" w:rsidRDefault="00D8521B" w:rsidP="00444C3E">
      <w:pPr>
        <w:pStyle w:val="Styl2"/>
      </w:pPr>
      <w:r w:rsidRPr="006E43D9">
        <w:t>Úvod</w:t>
      </w:r>
    </w:p>
    <w:p w14:paraId="1EBBBE64" w14:textId="77777777" w:rsidR="00D5695F" w:rsidRPr="00444C3E" w:rsidRDefault="00D5695F" w:rsidP="00444C3E">
      <w:pPr>
        <w:pStyle w:val="DAVA"/>
        <w:spacing w:before="60"/>
        <w:rPr>
          <w:rFonts w:ascii="Cambria" w:hAnsi="Cambria"/>
          <w:b/>
          <w:sz w:val="22"/>
          <w:szCs w:val="18"/>
        </w:rPr>
      </w:pPr>
      <w:r w:rsidRPr="00444C3E">
        <w:rPr>
          <w:rFonts w:ascii="Cambria" w:hAnsi="Cambria"/>
          <w:sz w:val="22"/>
          <w:szCs w:val="18"/>
        </w:rPr>
        <w:t xml:space="preserve">Akční plán se týká předběžné podmínky 5.1 (a EZFRV: 4.4) </w:t>
      </w:r>
      <w:r w:rsidR="00326855" w:rsidRPr="00444C3E">
        <w:rPr>
          <w:rFonts w:ascii="Cambria" w:hAnsi="Cambria"/>
          <w:b/>
          <w:sz w:val="22"/>
          <w:szCs w:val="18"/>
          <w:u w:val="single"/>
        </w:rPr>
        <w:t xml:space="preserve">Předcházení riziku a </w:t>
      </w:r>
      <w:r w:rsidRPr="00444C3E">
        <w:rPr>
          <w:rFonts w:ascii="Cambria" w:hAnsi="Cambria"/>
          <w:b/>
          <w:sz w:val="22"/>
          <w:szCs w:val="18"/>
          <w:u w:val="single"/>
        </w:rPr>
        <w:t>řízení</w:t>
      </w:r>
      <w:r w:rsidR="00326855" w:rsidRPr="00444C3E">
        <w:rPr>
          <w:rFonts w:ascii="Cambria" w:hAnsi="Cambria"/>
          <w:b/>
          <w:sz w:val="22"/>
          <w:szCs w:val="18"/>
          <w:u w:val="single"/>
        </w:rPr>
        <w:t xml:space="preserve"> rizika</w:t>
      </w:r>
      <w:r w:rsidRPr="00444C3E">
        <w:rPr>
          <w:rFonts w:ascii="Cambria" w:hAnsi="Cambria"/>
          <w:b/>
          <w:sz w:val="22"/>
          <w:szCs w:val="18"/>
          <w:u w:val="single"/>
        </w:rPr>
        <w:t>:</w:t>
      </w:r>
      <w:r w:rsidRPr="00444C3E">
        <w:rPr>
          <w:rFonts w:ascii="Cambria" w:hAnsi="Cambria"/>
          <w:sz w:val="22"/>
          <w:szCs w:val="18"/>
          <w:u w:val="single"/>
        </w:rPr>
        <w:t xml:space="preserve"> </w:t>
      </w:r>
      <w:r w:rsidRPr="00444C3E">
        <w:rPr>
          <w:rFonts w:ascii="Cambria" w:hAnsi="Cambria"/>
          <w:b/>
          <w:sz w:val="22"/>
          <w:szCs w:val="18"/>
          <w:u w:val="single"/>
        </w:rPr>
        <w:t>Existence vnitrostátního nebo regionálního posuzování rizik pro zvládání katastrof s ohledem na přizpůsobení se změně klimatu</w:t>
      </w:r>
      <w:r w:rsidRPr="00444C3E">
        <w:rPr>
          <w:rFonts w:ascii="Cambria" w:hAnsi="Cambria"/>
          <w:sz w:val="22"/>
          <w:szCs w:val="18"/>
        </w:rPr>
        <w:t xml:space="preserve">, která náleží do tematického cíle 5 </w:t>
      </w:r>
      <w:r w:rsidRPr="00444C3E">
        <w:rPr>
          <w:rFonts w:ascii="Cambria" w:hAnsi="Cambria"/>
          <w:b/>
          <w:sz w:val="22"/>
          <w:szCs w:val="18"/>
          <w:u w:val="single"/>
        </w:rPr>
        <w:t>Podpora přizpůsobení se změně klimatu</w:t>
      </w:r>
      <w:r w:rsidR="00373BF3" w:rsidRPr="00444C3E">
        <w:rPr>
          <w:rFonts w:ascii="Cambria" w:hAnsi="Cambria"/>
          <w:b/>
          <w:sz w:val="22"/>
          <w:szCs w:val="18"/>
          <w:u w:val="single"/>
        </w:rPr>
        <w:t xml:space="preserve">, </w:t>
      </w:r>
      <w:r w:rsidRPr="00444C3E">
        <w:rPr>
          <w:rFonts w:ascii="Cambria" w:hAnsi="Cambria"/>
          <w:b/>
          <w:sz w:val="22"/>
          <w:szCs w:val="18"/>
          <w:u w:val="single"/>
        </w:rPr>
        <w:t>předcházení rizikům</w:t>
      </w:r>
      <w:r w:rsidR="00373BF3" w:rsidRPr="00444C3E">
        <w:rPr>
          <w:rFonts w:ascii="Cambria" w:hAnsi="Cambria"/>
          <w:b/>
          <w:sz w:val="22"/>
          <w:szCs w:val="18"/>
          <w:u w:val="single"/>
        </w:rPr>
        <w:t xml:space="preserve"> a řízení rizik</w:t>
      </w:r>
      <w:r w:rsidRPr="00444C3E">
        <w:rPr>
          <w:rFonts w:ascii="Cambria" w:hAnsi="Cambria"/>
          <w:sz w:val="22"/>
          <w:szCs w:val="18"/>
        </w:rPr>
        <w:t>.</w:t>
      </w:r>
    </w:p>
    <w:p w14:paraId="2383B26F" w14:textId="77777777" w:rsidR="00B928A7" w:rsidRPr="00444C3E" w:rsidRDefault="00B928A7" w:rsidP="00444C3E">
      <w:pPr>
        <w:spacing w:after="0"/>
        <w:jc w:val="both"/>
        <w:rPr>
          <w:rFonts w:ascii="Cambria" w:hAnsi="Cambria"/>
          <w:sz w:val="20"/>
          <w:szCs w:val="20"/>
        </w:rPr>
      </w:pPr>
    </w:p>
    <w:p w14:paraId="0E611755" w14:textId="77777777" w:rsidR="00B928A7" w:rsidRPr="00444C3E" w:rsidRDefault="00EA6037" w:rsidP="00444C3E">
      <w:pPr>
        <w:spacing w:after="0" w:line="240" w:lineRule="auto"/>
        <w:jc w:val="both"/>
        <w:rPr>
          <w:rFonts w:ascii="Cambria" w:hAnsi="Cambria"/>
          <w:b/>
          <w:i/>
          <w:color w:val="000000"/>
          <w:szCs w:val="20"/>
          <w:lang w:val="en-US"/>
        </w:rPr>
      </w:pPr>
      <w:r w:rsidRPr="00444C3E">
        <w:rPr>
          <w:rFonts w:ascii="Cambria" w:hAnsi="Cambria"/>
          <w:b/>
          <w:i/>
          <w:color w:val="000000"/>
          <w:szCs w:val="20"/>
          <w:lang w:val="en-US"/>
        </w:rPr>
        <w:t xml:space="preserve">EX ANTE CONDITIONALITY </w:t>
      </w:r>
    </w:p>
    <w:p w14:paraId="3DC8C489" w14:textId="77777777" w:rsidR="00B928A7" w:rsidRPr="00444C3E" w:rsidRDefault="00B928A7" w:rsidP="00444C3E">
      <w:pPr>
        <w:spacing w:after="0" w:line="240" w:lineRule="auto"/>
        <w:ind w:left="426"/>
        <w:jc w:val="both"/>
        <w:rPr>
          <w:rFonts w:ascii="Cambria" w:hAnsi="Cambria"/>
          <w:b/>
          <w:i/>
          <w:color w:val="000000"/>
          <w:szCs w:val="20"/>
          <w:lang w:val="en-US"/>
        </w:rPr>
      </w:pPr>
      <w:r w:rsidRPr="00444C3E">
        <w:rPr>
          <w:rFonts w:ascii="Cambria" w:hAnsi="Cambria"/>
          <w:i/>
          <w:color w:val="000000"/>
          <w:szCs w:val="20"/>
          <w:lang w:val="en-US"/>
        </w:rPr>
        <w:t xml:space="preserve">5.1 Risk prevention and risk management: </w:t>
      </w:r>
      <w:r w:rsidRPr="00444C3E">
        <w:rPr>
          <w:rFonts w:ascii="Cambria" w:hAnsi="Cambria"/>
          <w:b/>
          <w:i/>
          <w:color w:val="000000"/>
          <w:szCs w:val="20"/>
          <w:lang w:val="en-US"/>
        </w:rPr>
        <w:t>The existence of national or regional risk assessments</w:t>
      </w:r>
      <w:r w:rsidR="00BF6A18" w:rsidRPr="00444C3E">
        <w:rPr>
          <w:rFonts w:ascii="Cambria" w:hAnsi="Cambria"/>
          <w:b/>
          <w:i/>
          <w:color w:val="000000"/>
          <w:szCs w:val="20"/>
          <w:lang w:val="en-US"/>
        </w:rPr>
        <w:t xml:space="preserve"> </w:t>
      </w:r>
      <w:r w:rsidRPr="00444C3E">
        <w:rPr>
          <w:rFonts w:ascii="Cambria" w:hAnsi="Cambria"/>
          <w:b/>
          <w:i/>
          <w:color w:val="000000"/>
          <w:szCs w:val="20"/>
          <w:lang w:val="en-US"/>
        </w:rPr>
        <w:t>for disaster management taking into account climate change adaptation</w:t>
      </w:r>
    </w:p>
    <w:p w14:paraId="5A289F7F" w14:textId="77777777" w:rsidR="00B928A7" w:rsidRPr="00444C3E" w:rsidRDefault="00B928A7" w:rsidP="00444C3E">
      <w:pPr>
        <w:spacing w:after="0" w:line="240" w:lineRule="auto"/>
        <w:jc w:val="both"/>
        <w:rPr>
          <w:rFonts w:ascii="Cambria" w:hAnsi="Cambria"/>
          <w:b/>
          <w:i/>
          <w:color w:val="000000"/>
          <w:szCs w:val="20"/>
          <w:lang w:val="en-US"/>
        </w:rPr>
      </w:pPr>
      <w:r w:rsidRPr="00444C3E">
        <w:rPr>
          <w:rFonts w:ascii="Cambria" w:hAnsi="Cambria"/>
          <w:b/>
          <w:i/>
          <w:color w:val="000000"/>
          <w:szCs w:val="20"/>
          <w:lang w:val="en-US"/>
        </w:rPr>
        <w:t>Criteria for fulfilment</w:t>
      </w:r>
    </w:p>
    <w:p w14:paraId="637BC245" w14:textId="77777777" w:rsidR="00092966" w:rsidRPr="00444C3E" w:rsidRDefault="00092966" w:rsidP="00444C3E">
      <w:pPr>
        <w:spacing w:after="0" w:line="240" w:lineRule="auto"/>
        <w:ind w:left="426"/>
        <w:jc w:val="both"/>
        <w:rPr>
          <w:rFonts w:ascii="Cambria" w:hAnsi="Cambria"/>
          <w:i/>
          <w:szCs w:val="20"/>
          <w:lang w:val="en-US"/>
        </w:rPr>
      </w:pPr>
      <w:r w:rsidRPr="00444C3E">
        <w:rPr>
          <w:rFonts w:ascii="Cambria" w:hAnsi="Cambria"/>
          <w:i/>
          <w:szCs w:val="20"/>
          <w:lang w:val="en-US"/>
        </w:rPr>
        <w:t>A national or regional risk assessment with the following elements shall be in place:</w:t>
      </w:r>
    </w:p>
    <w:p w14:paraId="1DD8C9EE" w14:textId="77777777" w:rsidR="00092966" w:rsidRPr="00444C3E" w:rsidRDefault="00092966" w:rsidP="00444C3E">
      <w:pPr>
        <w:pStyle w:val="Odstavecseseznamem"/>
        <w:numPr>
          <w:ilvl w:val="0"/>
          <w:numId w:val="9"/>
        </w:numPr>
        <w:spacing w:after="0" w:line="240" w:lineRule="auto"/>
        <w:jc w:val="both"/>
        <w:rPr>
          <w:rFonts w:ascii="Cambria" w:hAnsi="Cambria"/>
          <w:i/>
          <w:szCs w:val="20"/>
          <w:lang w:val="en-US"/>
        </w:rPr>
      </w:pPr>
      <w:r w:rsidRPr="00444C3E">
        <w:rPr>
          <w:rFonts w:ascii="Cambria" w:hAnsi="Cambria"/>
          <w:i/>
          <w:szCs w:val="20"/>
          <w:lang w:val="en-US"/>
        </w:rPr>
        <w:t>A description of the process, methodology, methods and non-sensitive data used for risk assessment as well as of the risk-based criteria for the prioritisation of investment;</w:t>
      </w:r>
    </w:p>
    <w:p w14:paraId="20C7626A" w14:textId="77777777" w:rsidR="00092966" w:rsidRPr="00444C3E" w:rsidRDefault="00092966" w:rsidP="00444C3E">
      <w:pPr>
        <w:pStyle w:val="Odstavecseseznamem"/>
        <w:numPr>
          <w:ilvl w:val="0"/>
          <w:numId w:val="9"/>
        </w:numPr>
        <w:spacing w:after="0" w:line="240" w:lineRule="auto"/>
        <w:jc w:val="both"/>
        <w:rPr>
          <w:rFonts w:ascii="Cambria" w:hAnsi="Cambria"/>
          <w:i/>
          <w:szCs w:val="20"/>
          <w:lang w:val="en-US"/>
        </w:rPr>
      </w:pPr>
      <w:r w:rsidRPr="00444C3E">
        <w:rPr>
          <w:rFonts w:ascii="Cambria" w:hAnsi="Cambria"/>
          <w:i/>
          <w:szCs w:val="20"/>
          <w:lang w:val="en-US"/>
        </w:rPr>
        <w:t>A description of single-risk and multi-risk scenarios</w:t>
      </w:r>
      <w:r w:rsidR="00B928A7" w:rsidRPr="00444C3E">
        <w:rPr>
          <w:rFonts w:ascii="Cambria" w:hAnsi="Cambria"/>
          <w:i/>
          <w:szCs w:val="20"/>
          <w:lang w:val="en-US"/>
        </w:rPr>
        <w:t>;</w:t>
      </w:r>
    </w:p>
    <w:p w14:paraId="1C1743C4" w14:textId="77777777" w:rsidR="00092966" w:rsidRPr="00444C3E" w:rsidRDefault="00092966" w:rsidP="00444C3E">
      <w:pPr>
        <w:pStyle w:val="Odstavecseseznamem"/>
        <w:numPr>
          <w:ilvl w:val="0"/>
          <w:numId w:val="9"/>
        </w:numPr>
        <w:spacing w:after="0" w:line="240" w:lineRule="auto"/>
        <w:jc w:val="both"/>
        <w:rPr>
          <w:rFonts w:ascii="Cambria" w:hAnsi="Cambria"/>
          <w:i/>
          <w:szCs w:val="20"/>
          <w:lang w:val="en-US"/>
        </w:rPr>
      </w:pPr>
      <w:r w:rsidRPr="00444C3E">
        <w:rPr>
          <w:rFonts w:ascii="Cambria" w:hAnsi="Cambria"/>
          <w:i/>
          <w:szCs w:val="20"/>
          <w:lang w:val="en-US"/>
        </w:rPr>
        <w:t>Taking into account, where appropriate, national clima</w:t>
      </w:r>
      <w:r w:rsidR="00B928A7" w:rsidRPr="00444C3E">
        <w:rPr>
          <w:rFonts w:ascii="Cambria" w:hAnsi="Cambria"/>
          <w:i/>
          <w:szCs w:val="20"/>
          <w:lang w:val="en-US"/>
        </w:rPr>
        <w:t>te change adaptation strategies.</w:t>
      </w:r>
    </w:p>
    <w:p w14:paraId="438F8614" w14:textId="77777777" w:rsidR="00BF6A18" w:rsidRPr="006E43D9" w:rsidRDefault="00BF6A18" w:rsidP="00A10796">
      <w:pPr>
        <w:spacing w:after="0" w:line="240" w:lineRule="auto"/>
        <w:rPr>
          <w:szCs w:val="20"/>
          <w:lang w:val="en-US"/>
        </w:rPr>
      </w:pPr>
    </w:p>
    <w:p w14:paraId="741778DE" w14:textId="77777777" w:rsidR="00D8521B" w:rsidRPr="006E43D9" w:rsidRDefault="00D8521B" w:rsidP="00444C3E">
      <w:pPr>
        <w:pStyle w:val="Styl2"/>
        <w:rPr>
          <w:u w:color="000000"/>
        </w:rPr>
      </w:pPr>
      <w:r w:rsidRPr="006E43D9">
        <w:rPr>
          <w:u w:color="000000"/>
        </w:rPr>
        <w:t>Metodické dokumenty Komise – guidances</w:t>
      </w:r>
    </w:p>
    <w:p w14:paraId="4384C10D" w14:textId="77777777" w:rsidR="00D8521B" w:rsidRPr="001B5525" w:rsidRDefault="00D8521B" w:rsidP="00444C3E">
      <w:pPr>
        <w:rPr>
          <w:rFonts w:ascii="Cambria" w:hAnsi="Cambria"/>
          <w:i/>
          <w:u w:color="000000"/>
        </w:rPr>
      </w:pPr>
      <w:r w:rsidRPr="001B5525">
        <w:rPr>
          <w:rFonts w:ascii="Cambria" w:hAnsi="Cambria"/>
          <w:i/>
          <w:u w:color="000000"/>
        </w:rPr>
        <w:t xml:space="preserve">Evropská komise pro jednotlivé fondy vydává metodické návody k předběžným podmínkám. </w:t>
      </w:r>
    </w:p>
    <w:p w14:paraId="56EEF8D9" w14:textId="584140B7" w:rsidR="00D8521B" w:rsidRPr="001B5525" w:rsidRDefault="00D8521B" w:rsidP="00444C3E">
      <w:pPr>
        <w:rPr>
          <w:rFonts w:ascii="Cambria" w:hAnsi="Cambria"/>
          <w:i/>
          <w:u w:color="000000"/>
        </w:rPr>
      </w:pPr>
      <w:r w:rsidRPr="001B5525">
        <w:rPr>
          <w:rFonts w:ascii="Cambria" w:hAnsi="Cambria"/>
          <w:i/>
          <w:u w:color="000000"/>
        </w:rPr>
        <w:t xml:space="preserve">Metodickým dokumentem Komise pro EFRR, ESF a FS je </w:t>
      </w:r>
      <w:r w:rsidRPr="001B5525">
        <w:rPr>
          <w:rFonts w:ascii="Cambria" w:hAnsi="Cambria"/>
          <w:b/>
          <w:i/>
          <w:u w:color="000000"/>
        </w:rPr>
        <w:t xml:space="preserve">„Guidance on </w:t>
      </w:r>
      <w:r w:rsidR="00373BF3" w:rsidRPr="001B5525">
        <w:rPr>
          <w:rFonts w:ascii="Cambria" w:hAnsi="Cambria"/>
          <w:b/>
          <w:i/>
          <w:u w:color="000000"/>
        </w:rPr>
        <w:t>E</w:t>
      </w:r>
      <w:r w:rsidRPr="001B5525">
        <w:rPr>
          <w:rFonts w:ascii="Cambria" w:hAnsi="Cambria"/>
          <w:b/>
          <w:i/>
          <w:u w:color="000000"/>
        </w:rPr>
        <w:t>x ante Conditionalities</w:t>
      </w:r>
      <w:r w:rsidR="00E521B8">
        <w:rPr>
          <w:rFonts w:ascii="Cambria" w:hAnsi="Cambria"/>
          <w:b/>
          <w:i/>
          <w:u w:color="000000"/>
        </w:rPr>
        <w:t xml:space="preserve"> </w:t>
      </w:r>
      <w:r w:rsidR="00E521B8" w:rsidRPr="00E521B8">
        <w:rPr>
          <w:rFonts w:ascii="Cambria" w:hAnsi="Cambria"/>
          <w:b/>
          <w:i/>
          <w:u w:color="000000"/>
        </w:rPr>
        <w:t>for the European Structural and Investment Funds</w:t>
      </w:r>
      <w:r w:rsidRPr="001B5525">
        <w:rPr>
          <w:rFonts w:ascii="Cambria" w:hAnsi="Cambria"/>
          <w:b/>
          <w:i/>
          <w:u w:color="000000"/>
        </w:rPr>
        <w:t>“</w:t>
      </w:r>
      <w:r w:rsidRPr="001B5525">
        <w:rPr>
          <w:rFonts w:ascii="Cambria" w:hAnsi="Cambria"/>
          <w:i/>
          <w:u w:color="000000"/>
        </w:rPr>
        <w:t xml:space="preserve"> (part I. a part II včetně tzv. „hodnotících tabulek). Guidance představuje další prostředek k upřesnění výkladu a způsobu plnění předběžných podmínek. </w:t>
      </w:r>
      <w:r w:rsidR="00034267" w:rsidRPr="001B5525">
        <w:rPr>
          <w:rFonts w:ascii="Cambria" w:hAnsi="Cambria"/>
          <w:i/>
          <w:u w:color="000000"/>
        </w:rPr>
        <w:t>M</w:t>
      </w:r>
      <w:r w:rsidRPr="001B5525">
        <w:rPr>
          <w:rFonts w:ascii="Cambria" w:hAnsi="Cambria"/>
          <w:i/>
          <w:u w:color="000000"/>
        </w:rPr>
        <w:t>ateriál blíže specifikuje posuzování předběžných pod</w:t>
      </w:r>
      <w:r w:rsidR="00034267" w:rsidRPr="001B5525">
        <w:rPr>
          <w:rFonts w:ascii="Cambria" w:hAnsi="Cambria"/>
          <w:i/>
          <w:u w:color="000000"/>
        </w:rPr>
        <w:t>mínek ze strany Evropské komise</w:t>
      </w:r>
      <w:r w:rsidRPr="001B5525">
        <w:rPr>
          <w:rFonts w:ascii="Cambria" w:hAnsi="Cambria"/>
          <w:i/>
          <w:u w:color="000000"/>
        </w:rPr>
        <w:t xml:space="preserve">. </w:t>
      </w:r>
    </w:p>
    <w:p w14:paraId="28CD709B" w14:textId="77777777" w:rsidR="002802F9" w:rsidRPr="00444C3E" w:rsidRDefault="002802F9" w:rsidP="00444C3E">
      <w:pPr>
        <w:rPr>
          <w:rFonts w:ascii="Cambria" w:hAnsi="Cambria"/>
          <w:u w:color="000000"/>
        </w:rPr>
      </w:pPr>
    </w:p>
    <w:p w14:paraId="6C65A0A1" w14:textId="494C4646" w:rsidR="00EA6037" w:rsidRPr="00D04F35" w:rsidRDefault="00EA6037" w:rsidP="00444C3E">
      <w:pPr>
        <w:spacing w:after="0" w:line="240" w:lineRule="auto"/>
        <w:jc w:val="both"/>
        <w:rPr>
          <w:rFonts w:ascii="Cambria" w:hAnsi="Cambria"/>
          <w:b/>
          <w:i/>
          <w:lang w:val="en-US"/>
        </w:rPr>
      </w:pPr>
      <w:r w:rsidRPr="00D04F35">
        <w:rPr>
          <w:rFonts w:ascii="Cambria" w:hAnsi="Cambria"/>
          <w:b/>
          <w:i/>
          <w:lang w:val="en-US"/>
        </w:rPr>
        <w:t xml:space="preserve">GUIDANCE ON EX ANTE CONDITIONALITIES, PART II, </w:t>
      </w:r>
      <w:r w:rsidR="00B5488E" w:rsidRPr="00B5488E">
        <w:rPr>
          <w:rFonts w:ascii="Cambria" w:hAnsi="Cambria"/>
          <w:b/>
          <w:i/>
          <w:lang w:val="en-US"/>
        </w:rPr>
        <w:t>13 February 2014</w:t>
      </w:r>
      <w:r w:rsidR="00B5488E" w:rsidRPr="00B5488E" w:rsidDel="00B5488E">
        <w:rPr>
          <w:rFonts w:ascii="Cambria" w:hAnsi="Cambria"/>
          <w:b/>
          <w:i/>
          <w:lang w:val="en-US"/>
        </w:rPr>
        <w:t xml:space="preserve"> </w:t>
      </w:r>
      <w:r w:rsidR="002802F9" w:rsidRPr="008976C7">
        <w:rPr>
          <w:rFonts w:ascii="Cambria" w:hAnsi="Cambria"/>
          <w:b/>
          <w:i/>
          <w:lang w:val="en-US"/>
        </w:rPr>
        <w:t>(výběr relevantních částí)</w:t>
      </w:r>
    </w:p>
    <w:p w14:paraId="11D034C8" w14:textId="77777777" w:rsidR="00EA6037" w:rsidRPr="00444C3E" w:rsidRDefault="00EA6037" w:rsidP="00444C3E">
      <w:pPr>
        <w:spacing w:after="0" w:line="240" w:lineRule="auto"/>
        <w:ind w:left="284"/>
        <w:jc w:val="both"/>
        <w:rPr>
          <w:rFonts w:ascii="Cambria" w:hAnsi="Cambria"/>
          <w:i/>
          <w:lang w:val="en-US"/>
        </w:rPr>
      </w:pPr>
      <w:r w:rsidRPr="00444C3E">
        <w:rPr>
          <w:rFonts w:ascii="Cambria" w:hAnsi="Cambria"/>
          <w:b/>
          <w:i/>
          <w:lang w:val="en-US"/>
        </w:rPr>
        <w:t xml:space="preserve">Definitions </w:t>
      </w:r>
      <w:r w:rsidRPr="00444C3E">
        <w:rPr>
          <w:rFonts w:ascii="Cambria" w:hAnsi="Cambria"/>
          <w:i/>
          <w:lang w:val="en-US"/>
        </w:rPr>
        <w:t xml:space="preserve">(based on ISO 31010, risk management, risk assessment techniques) </w:t>
      </w:r>
    </w:p>
    <w:p w14:paraId="7B858C88" w14:textId="77777777" w:rsidR="00EA6037" w:rsidRPr="00444C3E" w:rsidRDefault="00EA6037" w:rsidP="00444C3E">
      <w:pPr>
        <w:pStyle w:val="Textpoznpodarou"/>
        <w:ind w:left="284"/>
        <w:rPr>
          <w:rFonts w:ascii="Cambria" w:hAnsi="Cambria"/>
          <w:i/>
          <w:sz w:val="22"/>
          <w:szCs w:val="22"/>
          <w:lang w:val="en-US"/>
        </w:rPr>
      </w:pPr>
      <w:r w:rsidRPr="00444C3E">
        <w:rPr>
          <w:rFonts w:ascii="Cambria" w:hAnsi="Cambria"/>
          <w:i/>
          <w:sz w:val="22"/>
          <w:szCs w:val="22"/>
          <w:u w:val="single"/>
          <w:lang w:val="en-US"/>
        </w:rPr>
        <w:t>Risk assessment</w:t>
      </w:r>
      <w:r w:rsidRPr="00444C3E">
        <w:rPr>
          <w:rFonts w:ascii="Cambria" w:hAnsi="Cambria"/>
          <w:i/>
          <w:sz w:val="22"/>
          <w:szCs w:val="22"/>
          <w:lang w:val="en-US"/>
        </w:rPr>
        <w:t xml:space="preserve"> means the overall cross-sectorial process of risk identification, risk analysis, and risk evaluation undertaken at national or appropriate sub-national level.</w:t>
      </w:r>
    </w:p>
    <w:p w14:paraId="4D6D403B" w14:textId="77777777" w:rsidR="00EA6037" w:rsidRPr="00444C3E" w:rsidRDefault="00EA6037" w:rsidP="00444C3E">
      <w:pPr>
        <w:pStyle w:val="Textpoznpodarou"/>
        <w:ind w:left="284"/>
        <w:rPr>
          <w:rFonts w:ascii="Cambria" w:hAnsi="Cambria"/>
          <w:i/>
          <w:sz w:val="22"/>
          <w:szCs w:val="22"/>
          <w:lang w:val="en-US"/>
        </w:rPr>
      </w:pPr>
      <w:r w:rsidRPr="00444C3E">
        <w:rPr>
          <w:rFonts w:ascii="Cambria" w:hAnsi="Cambria"/>
          <w:i/>
          <w:sz w:val="22"/>
          <w:szCs w:val="22"/>
          <w:u w:val="single"/>
          <w:lang w:val="en-US"/>
        </w:rPr>
        <w:t>Risk scenarios</w:t>
      </w:r>
      <w:r w:rsidRPr="00444C3E">
        <w:rPr>
          <w:rFonts w:ascii="Cambria" w:hAnsi="Cambria"/>
          <w:i/>
          <w:sz w:val="22"/>
          <w:szCs w:val="22"/>
          <w:lang w:val="en-US"/>
        </w:rPr>
        <w:t xml:space="preserve"> are a plausible description of how the future may develop. Scenario building is mainly based on experiences from the past, but also events and impacts which have so far not occurred should be considered. Scenarios should be based on a coherent and internally consistent set of assumptions about key relationships and driving forces.</w:t>
      </w:r>
    </w:p>
    <w:p w14:paraId="7345F6F7" w14:textId="77777777" w:rsidR="00EA6037" w:rsidRPr="00444C3E" w:rsidRDefault="00EA6037" w:rsidP="00444C3E">
      <w:pPr>
        <w:spacing w:after="0" w:line="240" w:lineRule="auto"/>
        <w:ind w:left="284"/>
        <w:jc w:val="both"/>
        <w:rPr>
          <w:rFonts w:ascii="Cambria" w:hAnsi="Cambria"/>
          <w:b/>
          <w:i/>
          <w:lang w:val="en-US"/>
        </w:rPr>
      </w:pPr>
    </w:p>
    <w:p w14:paraId="5E205245" w14:textId="77777777" w:rsidR="00EA6037" w:rsidRPr="00444C3E" w:rsidRDefault="00EA6037" w:rsidP="00444C3E">
      <w:pPr>
        <w:spacing w:after="0" w:line="240" w:lineRule="auto"/>
        <w:ind w:left="284"/>
        <w:jc w:val="both"/>
        <w:rPr>
          <w:rFonts w:ascii="Cambria" w:hAnsi="Cambria"/>
          <w:b/>
          <w:i/>
          <w:lang w:val="en-US"/>
        </w:rPr>
      </w:pPr>
      <w:r w:rsidRPr="00444C3E">
        <w:rPr>
          <w:rFonts w:ascii="Cambria" w:hAnsi="Cambria"/>
          <w:b/>
          <w:i/>
          <w:lang w:val="en-US"/>
        </w:rPr>
        <w:t>Rationale for the ex ante conditionality</w:t>
      </w:r>
    </w:p>
    <w:p w14:paraId="19011AAD" w14:textId="77777777" w:rsidR="00EA6037" w:rsidRPr="00444C3E" w:rsidRDefault="00EA6037" w:rsidP="00444C3E">
      <w:pPr>
        <w:spacing w:after="0" w:line="240" w:lineRule="auto"/>
        <w:ind w:left="284"/>
        <w:jc w:val="both"/>
        <w:rPr>
          <w:rFonts w:ascii="Cambria" w:hAnsi="Cambria"/>
          <w:i/>
          <w:lang w:val="en-US"/>
        </w:rPr>
      </w:pPr>
      <w:r w:rsidRPr="00444C3E">
        <w:rPr>
          <w:rFonts w:ascii="Cambria" w:hAnsi="Cambria"/>
          <w:i/>
          <w:lang w:val="en-US"/>
        </w:rPr>
        <w:t xml:space="preserve">The lack of relevant risk prevention and management strategies/plans at national/regional level could undermine the effectiveness of the Funds' intervention. </w:t>
      </w:r>
      <w:r w:rsidRPr="00444C3E">
        <w:rPr>
          <w:rFonts w:ascii="Cambria" w:hAnsi="Cambria"/>
          <w:b/>
          <w:i/>
          <w:lang w:val="en-US"/>
        </w:rPr>
        <w:t xml:space="preserve">Without a consistent climate forecasting method and approach and plan to act on climate change impacts, adaptation measures can be inefficient and even counterproductive </w:t>
      </w:r>
      <w:r w:rsidRPr="00444C3E">
        <w:rPr>
          <w:rFonts w:ascii="Cambria" w:hAnsi="Cambria"/>
          <w:i/>
          <w:lang w:val="en-US"/>
        </w:rPr>
        <w:t>(maladaptation, e.g. increased use of irrigation against drought).</w:t>
      </w:r>
    </w:p>
    <w:p w14:paraId="5A69311E" w14:textId="77777777" w:rsidR="00EA6037" w:rsidRPr="00444C3E" w:rsidRDefault="00EA6037" w:rsidP="00444C3E">
      <w:pPr>
        <w:spacing w:after="0" w:line="240" w:lineRule="auto"/>
        <w:ind w:left="284"/>
        <w:jc w:val="both"/>
        <w:rPr>
          <w:rFonts w:ascii="Cambria" w:hAnsi="Cambria"/>
          <w:i/>
          <w:lang w:val="en-US"/>
        </w:rPr>
      </w:pPr>
    </w:p>
    <w:p w14:paraId="108E36AD" w14:textId="77777777" w:rsidR="00EA6037" w:rsidRPr="00444C3E" w:rsidRDefault="00EA6037" w:rsidP="00444C3E">
      <w:pPr>
        <w:keepNext/>
        <w:spacing w:after="0" w:line="240" w:lineRule="auto"/>
        <w:ind w:left="284"/>
        <w:jc w:val="both"/>
        <w:rPr>
          <w:rFonts w:ascii="Cambria" w:hAnsi="Cambria"/>
          <w:b/>
          <w:i/>
          <w:lang w:val="en-US"/>
        </w:rPr>
      </w:pPr>
      <w:r w:rsidRPr="00444C3E">
        <w:rPr>
          <w:rFonts w:ascii="Cambria" w:hAnsi="Cambria"/>
          <w:b/>
          <w:i/>
          <w:lang w:val="en-US"/>
        </w:rPr>
        <w:t>5. Fulfilment and non-fulfilment of criteria (Assessment grid)</w:t>
      </w:r>
    </w:p>
    <w:p w14:paraId="3AD4381B" w14:textId="77777777" w:rsidR="00EA6037" w:rsidRPr="00444C3E" w:rsidRDefault="00EA6037" w:rsidP="00444C3E">
      <w:pPr>
        <w:spacing w:after="0" w:line="240" w:lineRule="auto"/>
        <w:ind w:left="284"/>
        <w:jc w:val="both"/>
        <w:rPr>
          <w:rFonts w:ascii="Cambria" w:hAnsi="Cambria"/>
          <w:i/>
          <w:lang w:val="en-US"/>
        </w:rPr>
      </w:pPr>
      <w:r w:rsidRPr="00444C3E">
        <w:rPr>
          <w:rFonts w:ascii="Cambria" w:hAnsi="Cambria"/>
          <w:i/>
          <w:lang w:val="en-US"/>
        </w:rPr>
        <w:t>Comment to single-risk and multi-risk scenarios:</w:t>
      </w:r>
    </w:p>
    <w:p w14:paraId="7A79328E" w14:textId="77777777" w:rsidR="00EA6037" w:rsidRPr="00444C3E" w:rsidRDefault="00EA6037" w:rsidP="00444C3E">
      <w:pPr>
        <w:spacing w:after="0" w:line="240" w:lineRule="auto"/>
        <w:ind w:left="284"/>
        <w:jc w:val="both"/>
        <w:rPr>
          <w:rFonts w:ascii="Cambria" w:hAnsi="Cambria"/>
          <w:i/>
          <w:lang w:val="en-US"/>
        </w:rPr>
      </w:pPr>
      <w:r w:rsidRPr="00444C3E">
        <w:rPr>
          <w:rFonts w:ascii="Cambria" w:hAnsi="Cambria"/>
          <w:i/>
          <w:lang w:val="en-US"/>
        </w:rPr>
        <w:t xml:space="preserve">In order to prepare their self-assessment, </w:t>
      </w:r>
      <w:r w:rsidRPr="00444C3E">
        <w:rPr>
          <w:rFonts w:ascii="Cambria" w:hAnsi="Cambria"/>
          <w:b/>
          <w:i/>
          <w:lang w:val="en-US"/>
        </w:rPr>
        <w:t>MSs are encouraged to look at the Commission Staff Working Paper on “Risk assessment and Mapping Guidelines for Disaster Management”</w:t>
      </w:r>
      <w:r w:rsidRPr="00444C3E">
        <w:rPr>
          <w:rFonts w:ascii="Cambria" w:hAnsi="Cambria"/>
          <w:i/>
          <w:lang w:val="en-US"/>
        </w:rPr>
        <w:t xml:space="preserve"> (21 December 2010, see the link in Annex).</w:t>
      </w:r>
    </w:p>
    <w:p w14:paraId="16956E1F" w14:textId="77777777" w:rsidR="00EA6037" w:rsidRPr="00444C3E" w:rsidRDefault="00EA6037" w:rsidP="00444C3E">
      <w:pPr>
        <w:spacing w:after="0" w:line="240" w:lineRule="auto"/>
        <w:ind w:left="284"/>
        <w:jc w:val="both"/>
        <w:rPr>
          <w:rFonts w:ascii="Cambria" w:hAnsi="Cambria"/>
          <w:lang w:val="en-US"/>
        </w:rPr>
      </w:pPr>
    </w:p>
    <w:p w14:paraId="7DAE4A8A" w14:textId="77777777" w:rsidR="00EA6037" w:rsidRPr="00444C3E" w:rsidRDefault="00EA6037" w:rsidP="00444C3E">
      <w:pPr>
        <w:spacing w:after="0" w:line="240" w:lineRule="auto"/>
        <w:ind w:left="284"/>
        <w:jc w:val="both"/>
        <w:rPr>
          <w:rFonts w:ascii="Cambria" w:hAnsi="Cambria"/>
          <w:i/>
          <w:color w:val="000000"/>
          <w:lang w:val="en-US"/>
        </w:rPr>
      </w:pPr>
      <w:r w:rsidRPr="00444C3E">
        <w:rPr>
          <w:rStyle w:val="Siln"/>
          <w:rFonts w:ascii="Cambria" w:hAnsi="Cambria"/>
          <w:i/>
          <w:lang w:val="en-US"/>
        </w:rPr>
        <w:t>Extract of relevant documents</w:t>
      </w:r>
      <w:r w:rsidRPr="00444C3E">
        <w:rPr>
          <w:rFonts w:ascii="Cambria" w:hAnsi="Cambria"/>
          <w:i/>
          <w:color w:val="000000"/>
          <w:lang w:val="en-US"/>
        </w:rPr>
        <w:t xml:space="preserve"> </w:t>
      </w:r>
    </w:p>
    <w:p w14:paraId="226E8194" w14:textId="77777777" w:rsidR="00EA6037" w:rsidRPr="00444C3E" w:rsidRDefault="00EA6037" w:rsidP="00444C3E">
      <w:pPr>
        <w:spacing w:after="0" w:line="240" w:lineRule="auto"/>
        <w:ind w:left="284"/>
        <w:jc w:val="both"/>
        <w:rPr>
          <w:rFonts w:ascii="Cambria" w:hAnsi="Cambria"/>
          <w:i/>
          <w:color w:val="000000"/>
          <w:lang w:val="en-US"/>
        </w:rPr>
      </w:pPr>
      <w:r w:rsidRPr="00444C3E">
        <w:rPr>
          <w:rFonts w:ascii="Cambria" w:hAnsi="Cambria"/>
          <w:i/>
          <w:color w:val="000000"/>
          <w:lang w:val="en-US"/>
        </w:rPr>
        <w:t>Council conclusions on Further Developing Risk Assessment for Disaster Management within the European Union (11-12 April 2011):</w:t>
      </w:r>
    </w:p>
    <w:p w14:paraId="046DBE8C" w14:textId="77777777" w:rsidR="00EA6037" w:rsidRPr="00444C3E" w:rsidRDefault="00EA6037" w:rsidP="00444C3E">
      <w:pPr>
        <w:spacing w:after="0" w:line="240" w:lineRule="auto"/>
        <w:ind w:left="568"/>
        <w:jc w:val="both"/>
        <w:rPr>
          <w:rFonts w:ascii="Cambria" w:hAnsi="Cambria"/>
          <w:i/>
          <w:lang w:val="en-US"/>
        </w:rPr>
      </w:pPr>
      <w:r w:rsidRPr="00444C3E">
        <w:rPr>
          <w:rFonts w:ascii="Cambria" w:hAnsi="Cambria"/>
          <w:i/>
          <w:color w:val="000000"/>
          <w:lang w:val="en-US"/>
        </w:rPr>
        <w:t xml:space="preserve">2. Recalling that before the end of 2011, the Member States are invited to further </w:t>
      </w:r>
      <w:r w:rsidRPr="00444C3E">
        <w:rPr>
          <w:rFonts w:ascii="Cambria" w:hAnsi="Cambria"/>
          <w:b/>
          <w:i/>
          <w:color w:val="000000"/>
          <w:lang w:val="en-US"/>
        </w:rPr>
        <w:t>develop national approaches to, and procedures for, risk management, including risk analyses, covering the potential major natural and man-made disasters, taking into account the future impact of climate change</w:t>
      </w:r>
      <w:r w:rsidRPr="00444C3E">
        <w:rPr>
          <w:rFonts w:ascii="Cambria" w:hAnsi="Cambria"/>
          <w:i/>
          <w:color w:val="000000"/>
          <w:lang w:val="en-US"/>
        </w:rPr>
        <w:t>, and recalling that before the end of 2012 the Commission, using the available national risk analysis and taking into account the future impact of climate change and the need for climate adaptation, is to prepare a cross-sectoral overview of the major natural and man-made risks that the EU may face in the future and on this basis identify risks or types of risks that would be shared by Member States or regions in different Member States;</w:t>
      </w:r>
    </w:p>
    <w:p w14:paraId="0133A1AF" w14:textId="77777777" w:rsidR="008A7507" w:rsidRPr="00444C3E" w:rsidRDefault="008A7507" w:rsidP="00444C3E">
      <w:pPr>
        <w:pStyle w:val="Styl2"/>
        <w:spacing w:line="240" w:lineRule="auto"/>
        <w:rPr>
          <w:i/>
          <w:sz w:val="22"/>
          <w:u w:color="000000"/>
        </w:rPr>
        <w:sectPr w:rsidR="008A7507" w:rsidRPr="00444C3E" w:rsidSect="00CA6C17">
          <w:headerReference w:type="default" r:id="rId8"/>
          <w:footerReference w:type="default" r:id="rId9"/>
          <w:pgSz w:w="11906" w:h="16838"/>
          <w:pgMar w:top="1418" w:right="1134" w:bottom="1418" w:left="851" w:header="709" w:footer="709" w:gutter="0"/>
          <w:cols w:space="708"/>
          <w:docGrid w:linePitch="360"/>
        </w:sectPr>
      </w:pPr>
    </w:p>
    <w:p w14:paraId="34CE591E" w14:textId="77777777" w:rsidR="00EA6037" w:rsidRPr="006E43D9" w:rsidRDefault="00EA6037" w:rsidP="001B5525">
      <w:pPr>
        <w:pStyle w:val="Styl2"/>
        <w:numPr>
          <w:ilvl w:val="0"/>
          <w:numId w:val="0"/>
        </w:numPr>
        <w:spacing w:line="240" w:lineRule="auto"/>
        <w:ind w:left="720" w:hanging="360"/>
        <w:rPr>
          <w:rFonts w:ascii="Calibri" w:hAnsi="Calibri"/>
          <w:i/>
          <w:sz w:val="22"/>
          <w:u w:color="000000"/>
        </w:rPr>
      </w:pPr>
    </w:p>
    <w:p w14:paraId="6B3DA39F" w14:textId="77777777" w:rsidR="00D8521B" w:rsidRPr="006E43D9" w:rsidRDefault="00D8521B" w:rsidP="001B5525">
      <w:pPr>
        <w:pStyle w:val="Styl2"/>
        <w:rPr>
          <w:u w:color="000000"/>
        </w:rPr>
      </w:pPr>
      <w:r w:rsidRPr="006E43D9">
        <w:rPr>
          <w:u w:color="000000"/>
        </w:rPr>
        <w:t>Šablony EK k PP</w:t>
      </w:r>
    </w:p>
    <w:p w14:paraId="36BAFA4B" w14:textId="77777777" w:rsidR="00D8521B" w:rsidRPr="006E43D9" w:rsidRDefault="00D8521B" w:rsidP="002545FF">
      <w:pPr>
        <w:spacing w:before="60" w:after="60" w:line="240" w:lineRule="auto"/>
        <w:jc w:val="both"/>
        <w:rPr>
          <w:i/>
        </w:rPr>
      </w:pPr>
    </w:p>
    <w:p w14:paraId="3E20E44A" w14:textId="77777777" w:rsidR="00F11450" w:rsidRPr="006E43D9" w:rsidRDefault="00F11450" w:rsidP="002545FF">
      <w:pPr>
        <w:spacing w:before="60" w:after="60" w:line="240" w:lineRule="auto"/>
        <w:jc w:val="both"/>
        <w:rPr>
          <w:i/>
        </w:rPr>
      </w:pPr>
    </w:p>
    <w:tbl>
      <w:tblPr>
        <w:tblW w:w="13892" w:type="dxa"/>
        <w:tblInd w:w="2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276"/>
        <w:gridCol w:w="1174"/>
        <w:gridCol w:w="1094"/>
        <w:gridCol w:w="992"/>
        <w:gridCol w:w="993"/>
        <w:gridCol w:w="3685"/>
        <w:gridCol w:w="4678"/>
      </w:tblGrid>
      <w:tr w:rsidR="00D27AF2" w:rsidRPr="006E43D9" w14:paraId="60D75811" w14:textId="77777777" w:rsidTr="008976C7">
        <w:trPr>
          <w:trHeight w:val="431"/>
        </w:trPr>
        <w:tc>
          <w:tcPr>
            <w:tcW w:w="1276" w:type="dxa"/>
            <w:shd w:val="clear" w:color="auto" w:fill="C2D69B" w:themeFill="accent3" w:themeFillTint="99"/>
            <w:tcMar>
              <w:left w:w="28" w:type="dxa"/>
              <w:right w:w="28" w:type="dxa"/>
            </w:tcMar>
            <w:vAlign w:val="center"/>
          </w:tcPr>
          <w:p w14:paraId="0EE2CAF2" w14:textId="77777777" w:rsidR="00D8521B" w:rsidRPr="00444C3E" w:rsidRDefault="00D8521B" w:rsidP="008165D1">
            <w:pPr>
              <w:pStyle w:val="Default"/>
              <w:keepNext/>
              <w:jc w:val="center"/>
              <w:rPr>
                <w:rFonts w:ascii="Cambria" w:eastAsia="Times New Roman" w:hAnsi="Cambria"/>
                <w:color w:val="auto"/>
                <w:sz w:val="20"/>
                <w:szCs w:val="20"/>
                <w:lang w:eastAsia="cs-CZ"/>
              </w:rPr>
            </w:pPr>
            <w:r w:rsidRPr="00444C3E">
              <w:rPr>
                <w:rFonts w:ascii="Cambria" w:hAnsi="Cambria"/>
                <w:b/>
                <w:bCs/>
                <w:color w:val="auto"/>
                <w:sz w:val="20"/>
                <w:szCs w:val="20"/>
              </w:rPr>
              <w:t>Použitelná předběžná podmínka na národní úrovni</w:t>
            </w:r>
          </w:p>
        </w:tc>
        <w:tc>
          <w:tcPr>
            <w:tcW w:w="1174" w:type="dxa"/>
            <w:shd w:val="clear" w:color="auto" w:fill="C2D69B" w:themeFill="accent3" w:themeFillTint="99"/>
            <w:tcMar>
              <w:left w:w="28" w:type="dxa"/>
              <w:right w:w="28" w:type="dxa"/>
            </w:tcMar>
            <w:vAlign w:val="center"/>
          </w:tcPr>
          <w:p w14:paraId="2D905425" w14:textId="77777777" w:rsidR="00D8521B" w:rsidRPr="00444C3E" w:rsidRDefault="00D8521B" w:rsidP="008165D1">
            <w:pPr>
              <w:pStyle w:val="Default"/>
              <w:keepNext/>
              <w:jc w:val="center"/>
              <w:rPr>
                <w:rFonts w:ascii="Cambria" w:eastAsia="Times New Roman" w:hAnsi="Cambria"/>
                <w:color w:val="auto"/>
                <w:sz w:val="20"/>
                <w:szCs w:val="20"/>
                <w:lang w:eastAsia="cs-CZ"/>
              </w:rPr>
            </w:pPr>
            <w:r w:rsidRPr="00444C3E">
              <w:rPr>
                <w:rFonts w:ascii="Cambria" w:hAnsi="Cambria"/>
                <w:b/>
                <w:bCs/>
                <w:color w:val="auto"/>
                <w:sz w:val="20"/>
                <w:szCs w:val="20"/>
              </w:rPr>
              <w:t>Prioritní osa nebo osy, ke kterým se podmínka vztahuje</w:t>
            </w:r>
          </w:p>
        </w:tc>
        <w:tc>
          <w:tcPr>
            <w:tcW w:w="1094" w:type="dxa"/>
            <w:shd w:val="clear" w:color="auto" w:fill="C2D69B" w:themeFill="accent3" w:themeFillTint="99"/>
            <w:tcMar>
              <w:left w:w="28" w:type="dxa"/>
              <w:right w:w="28" w:type="dxa"/>
            </w:tcMar>
            <w:vAlign w:val="center"/>
          </w:tcPr>
          <w:p w14:paraId="14F8EC0E" w14:textId="77777777" w:rsidR="00D8521B" w:rsidRPr="00444C3E" w:rsidRDefault="00D8521B" w:rsidP="008165D1">
            <w:pPr>
              <w:pStyle w:val="Default"/>
              <w:keepNext/>
              <w:jc w:val="center"/>
              <w:rPr>
                <w:rFonts w:ascii="Cambria" w:eastAsia="Times New Roman" w:hAnsi="Cambria"/>
                <w:color w:val="auto"/>
                <w:sz w:val="20"/>
                <w:szCs w:val="20"/>
                <w:lang w:eastAsia="cs-CZ"/>
              </w:rPr>
            </w:pPr>
            <w:r w:rsidRPr="00444C3E">
              <w:rPr>
                <w:rFonts w:ascii="Cambria" w:hAnsi="Cambria"/>
                <w:b/>
                <w:bCs/>
                <w:color w:val="auto"/>
                <w:sz w:val="20"/>
                <w:szCs w:val="20"/>
              </w:rPr>
              <w:t>Splnění předběžné podmínky (ano/ne)</w:t>
            </w:r>
          </w:p>
        </w:tc>
        <w:tc>
          <w:tcPr>
            <w:tcW w:w="992" w:type="dxa"/>
            <w:shd w:val="clear" w:color="auto" w:fill="C2D69B" w:themeFill="accent3" w:themeFillTint="99"/>
            <w:tcMar>
              <w:left w:w="28" w:type="dxa"/>
              <w:right w:w="28" w:type="dxa"/>
            </w:tcMar>
            <w:vAlign w:val="center"/>
          </w:tcPr>
          <w:p w14:paraId="2C849C0B" w14:textId="77777777" w:rsidR="00D8521B" w:rsidRPr="00444C3E" w:rsidRDefault="00D8521B" w:rsidP="008165D1">
            <w:pPr>
              <w:pStyle w:val="Default"/>
              <w:keepNext/>
              <w:jc w:val="center"/>
              <w:rPr>
                <w:rFonts w:ascii="Cambria" w:eastAsia="Times New Roman" w:hAnsi="Cambria"/>
                <w:color w:val="auto"/>
                <w:sz w:val="20"/>
                <w:szCs w:val="20"/>
                <w:lang w:eastAsia="cs-CZ"/>
              </w:rPr>
            </w:pPr>
            <w:r w:rsidRPr="00444C3E">
              <w:rPr>
                <w:rFonts w:ascii="Cambria" w:hAnsi="Cambria"/>
                <w:b/>
                <w:bCs/>
                <w:color w:val="auto"/>
                <w:sz w:val="20"/>
                <w:szCs w:val="20"/>
              </w:rPr>
              <w:t>Kritéria splnění</w:t>
            </w:r>
          </w:p>
        </w:tc>
        <w:tc>
          <w:tcPr>
            <w:tcW w:w="993" w:type="dxa"/>
            <w:shd w:val="clear" w:color="auto" w:fill="C2D69B" w:themeFill="accent3" w:themeFillTint="99"/>
            <w:tcMar>
              <w:left w:w="28" w:type="dxa"/>
              <w:right w:w="28" w:type="dxa"/>
            </w:tcMar>
            <w:vAlign w:val="center"/>
          </w:tcPr>
          <w:p w14:paraId="76632C5B" w14:textId="77777777" w:rsidR="00D8521B" w:rsidRPr="00444C3E" w:rsidRDefault="00C1052E" w:rsidP="008165D1">
            <w:pPr>
              <w:pStyle w:val="DAVA"/>
              <w:keepNext/>
              <w:autoSpaceDE w:val="0"/>
              <w:autoSpaceDN w:val="0"/>
              <w:adjustRightInd w:val="0"/>
              <w:spacing w:before="0"/>
              <w:jc w:val="center"/>
              <w:rPr>
                <w:rFonts w:ascii="Cambria" w:hAnsi="Cambria"/>
                <w:sz w:val="20"/>
                <w:szCs w:val="20"/>
              </w:rPr>
            </w:pPr>
            <w:r w:rsidRPr="00444C3E">
              <w:rPr>
                <w:rFonts w:ascii="Cambria" w:hAnsi="Cambria"/>
                <w:b/>
                <w:bCs/>
                <w:sz w:val="20"/>
                <w:szCs w:val="20"/>
              </w:rPr>
              <w:t>Splnění kritéria (ano/</w:t>
            </w:r>
            <w:r w:rsidR="00D8521B" w:rsidRPr="00444C3E">
              <w:rPr>
                <w:rFonts w:ascii="Cambria" w:hAnsi="Cambria"/>
                <w:b/>
                <w:bCs/>
                <w:sz w:val="20"/>
                <w:szCs w:val="20"/>
              </w:rPr>
              <w:t>ne)</w:t>
            </w:r>
          </w:p>
        </w:tc>
        <w:tc>
          <w:tcPr>
            <w:tcW w:w="3685" w:type="dxa"/>
            <w:shd w:val="clear" w:color="auto" w:fill="C2D69B" w:themeFill="accent3" w:themeFillTint="99"/>
            <w:tcMar>
              <w:left w:w="28" w:type="dxa"/>
              <w:right w:w="28" w:type="dxa"/>
            </w:tcMar>
            <w:vAlign w:val="center"/>
          </w:tcPr>
          <w:p w14:paraId="55A9A182" w14:textId="77777777" w:rsidR="00D8521B" w:rsidRPr="00444C3E" w:rsidRDefault="00D8521B" w:rsidP="007A1D96">
            <w:pPr>
              <w:pStyle w:val="Default"/>
              <w:keepNext/>
              <w:jc w:val="center"/>
              <w:rPr>
                <w:rFonts w:ascii="Cambria" w:eastAsia="Times New Roman" w:hAnsi="Cambria"/>
                <w:color w:val="auto"/>
                <w:sz w:val="20"/>
                <w:szCs w:val="20"/>
                <w:lang w:eastAsia="cs-CZ"/>
              </w:rPr>
            </w:pPr>
            <w:r w:rsidRPr="00444C3E">
              <w:rPr>
                <w:rFonts w:ascii="Cambria" w:hAnsi="Cambria"/>
                <w:b/>
                <w:bCs/>
                <w:color w:val="auto"/>
                <w:sz w:val="20"/>
                <w:szCs w:val="20"/>
              </w:rPr>
              <w:t>Odkazy (u</w:t>
            </w:r>
            <w:r w:rsidR="00D27AF2" w:rsidRPr="00444C3E">
              <w:rPr>
                <w:rFonts w:ascii="Cambria" w:hAnsi="Cambria"/>
                <w:b/>
                <w:bCs/>
                <w:color w:val="auto"/>
                <w:sz w:val="20"/>
                <w:szCs w:val="20"/>
              </w:rPr>
              <w:t> </w:t>
            </w:r>
            <w:r w:rsidRPr="00444C3E">
              <w:rPr>
                <w:rFonts w:ascii="Cambria" w:hAnsi="Cambria"/>
                <w:b/>
                <w:bCs/>
                <w:color w:val="auto"/>
                <w:sz w:val="20"/>
                <w:szCs w:val="20"/>
              </w:rPr>
              <w:t xml:space="preserve">splněných </w:t>
            </w:r>
            <w:r w:rsidR="00E269CC" w:rsidRPr="00444C3E">
              <w:rPr>
                <w:rFonts w:ascii="Cambria" w:hAnsi="Cambria"/>
                <w:b/>
                <w:bCs/>
                <w:color w:val="auto"/>
                <w:sz w:val="20"/>
                <w:szCs w:val="20"/>
              </w:rPr>
              <w:t>kritérií</w:t>
            </w:r>
            <w:r w:rsidRPr="00444C3E">
              <w:rPr>
                <w:rFonts w:ascii="Cambria" w:hAnsi="Cambria"/>
                <w:b/>
                <w:bCs/>
                <w:color w:val="auto"/>
                <w:sz w:val="20"/>
                <w:szCs w:val="20"/>
              </w:rPr>
              <w:t xml:space="preserve">) </w:t>
            </w:r>
            <w:r w:rsidRPr="00444C3E">
              <w:rPr>
                <w:rStyle w:val="Znakapoznpodarou"/>
                <w:rFonts w:ascii="Cambria" w:hAnsi="Cambria"/>
                <w:b/>
                <w:bCs/>
                <w:color w:val="auto"/>
                <w:sz w:val="20"/>
                <w:szCs w:val="20"/>
              </w:rPr>
              <w:footnoteReference w:id="2"/>
            </w:r>
          </w:p>
        </w:tc>
        <w:tc>
          <w:tcPr>
            <w:tcW w:w="4678" w:type="dxa"/>
            <w:shd w:val="clear" w:color="auto" w:fill="C2D69B" w:themeFill="accent3" w:themeFillTint="99"/>
            <w:tcMar>
              <w:left w:w="28" w:type="dxa"/>
              <w:right w:w="28" w:type="dxa"/>
            </w:tcMar>
            <w:vAlign w:val="center"/>
          </w:tcPr>
          <w:p w14:paraId="67A5DB34" w14:textId="77777777" w:rsidR="00D8521B" w:rsidRPr="00444C3E" w:rsidRDefault="00D8521B" w:rsidP="007A1D96">
            <w:pPr>
              <w:pStyle w:val="Default"/>
              <w:keepNext/>
              <w:spacing w:after="60"/>
              <w:jc w:val="center"/>
              <w:rPr>
                <w:rFonts w:ascii="Cambria" w:eastAsia="Times New Roman" w:hAnsi="Cambria"/>
                <w:color w:val="auto"/>
                <w:sz w:val="20"/>
                <w:szCs w:val="20"/>
                <w:lang w:eastAsia="cs-CZ"/>
              </w:rPr>
            </w:pPr>
            <w:r w:rsidRPr="00444C3E">
              <w:rPr>
                <w:rFonts w:ascii="Cambria" w:hAnsi="Cambria"/>
                <w:b/>
                <w:bCs/>
                <w:color w:val="auto"/>
                <w:sz w:val="20"/>
                <w:szCs w:val="20"/>
              </w:rPr>
              <w:t>Vysvětlení (tam, kde je to vhodné)</w:t>
            </w:r>
          </w:p>
        </w:tc>
      </w:tr>
      <w:tr w:rsidR="00D27AF2" w:rsidRPr="006E43D9" w14:paraId="5927F262" w14:textId="77777777" w:rsidTr="008976C7">
        <w:trPr>
          <w:trHeight w:val="346"/>
        </w:trPr>
        <w:tc>
          <w:tcPr>
            <w:tcW w:w="1276" w:type="dxa"/>
            <w:shd w:val="clear" w:color="auto" w:fill="EAF1DD" w:themeFill="accent3" w:themeFillTint="33"/>
            <w:tcMar>
              <w:left w:w="28" w:type="dxa"/>
              <w:right w:w="28" w:type="dxa"/>
            </w:tcMar>
          </w:tcPr>
          <w:p w14:paraId="405A7FE2" w14:textId="77777777" w:rsidR="00A925BA" w:rsidRPr="00444C3E" w:rsidRDefault="00A925BA" w:rsidP="008165D1">
            <w:pPr>
              <w:pStyle w:val="DAVA"/>
              <w:spacing w:before="60"/>
              <w:jc w:val="left"/>
              <w:rPr>
                <w:rFonts w:ascii="Cambria" w:hAnsi="Cambria"/>
                <w:b/>
                <w:sz w:val="20"/>
                <w:szCs w:val="20"/>
              </w:rPr>
            </w:pPr>
            <w:r w:rsidRPr="00444C3E">
              <w:rPr>
                <w:rFonts w:ascii="Cambria" w:hAnsi="Cambria"/>
                <w:sz w:val="20"/>
                <w:szCs w:val="20"/>
              </w:rPr>
              <w:t>TC 5:</w:t>
            </w:r>
            <w:r w:rsidRPr="00444C3E">
              <w:rPr>
                <w:rFonts w:ascii="Cambria" w:hAnsi="Cambria"/>
                <w:b/>
                <w:sz w:val="20"/>
                <w:szCs w:val="20"/>
              </w:rPr>
              <w:t xml:space="preserve"> Podpora přizpůsobení se změně klimatu</w:t>
            </w:r>
            <w:r w:rsidR="00440E9B" w:rsidRPr="00444C3E">
              <w:rPr>
                <w:rFonts w:ascii="Cambria" w:hAnsi="Cambria"/>
                <w:b/>
                <w:sz w:val="20"/>
                <w:szCs w:val="20"/>
              </w:rPr>
              <w:t xml:space="preserve">, </w:t>
            </w:r>
            <w:r w:rsidRPr="00444C3E">
              <w:rPr>
                <w:rFonts w:ascii="Cambria" w:hAnsi="Cambria"/>
                <w:b/>
                <w:sz w:val="20"/>
                <w:szCs w:val="20"/>
              </w:rPr>
              <w:t>předcházení rizikům</w:t>
            </w:r>
            <w:r w:rsidR="00440E9B" w:rsidRPr="00444C3E">
              <w:rPr>
                <w:rFonts w:ascii="Cambria" w:hAnsi="Cambria"/>
                <w:b/>
                <w:sz w:val="20"/>
                <w:szCs w:val="20"/>
              </w:rPr>
              <w:t xml:space="preserve"> a řízení rizik</w:t>
            </w:r>
          </w:p>
          <w:p w14:paraId="6AE8D6AB" w14:textId="77777777" w:rsidR="00A925BA" w:rsidRPr="00444C3E" w:rsidRDefault="00A925BA" w:rsidP="008165D1">
            <w:pPr>
              <w:pStyle w:val="DAVA"/>
              <w:spacing w:before="60"/>
              <w:jc w:val="left"/>
              <w:rPr>
                <w:rFonts w:ascii="Cambria" w:hAnsi="Cambria"/>
                <w:sz w:val="20"/>
                <w:szCs w:val="20"/>
              </w:rPr>
            </w:pPr>
          </w:p>
          <w:p w14:paraId="01804899" w14:textId="77777777" w:rsidR="00D8521B" w:rsidRPr="00444C3E" w:rsidRDefault="00A925BA" w:rsidP="00465C6A">
            <w:pPr>
              <w:pStyle w:val="DAVA"/>
              <w:spacing w:before="60"/>
              <w:jc w:val="left"/>
              <w:rPr>
                <w:rFonts w:ascii="Cambria" w:hAnsi="Cambria"/>
                <w:sz w:val="20"/>
                <w:szCs w:val="20"/>
              </w:rPr>
            </w:pPr>
            <w:r w:rsidRPr="00444C3E">
              <w:rPr>
                <w:rFonts w:ascii="Cambria" w:hAnsi="Cambria"/>
                <w:sz w:val="20"/>
                <w:szCs w:val="20"/>
              </w:rPr>
              <w:t xml:space="preserve">PP </w:t>
            </w:r>
            <w:r w:rsidR="00C1052E" w:rsidRPr="00444C3E">
              <w:rPr>
                <w:rFonts w:ascii="Cambria" w:hAnsi="Cambria"/>
                <w:sz w:val="20"/>
                <w:szCs w:val="20"/>
              </w:rPr>
              <w:t xml:space="preserve">5.1 </w:t>
            </w:r>
            <w:r w:rsidRPr="00444C3E">
              <w:rPr>
                <w:rFonts w:ascii="Cambria" w:hAnsi="Cambria"/>
                <w:sz w:val="20"/>
                <w:szCs w:val="20"/>
              </w:rPr>
              <w:t xml:space="preserve">(a EZFRV: 4.4) </w:t>
            </w:r>
            <w:r w:rsidR="00C1052E" w:rsidRPr="00444C3E">
              <w:rPr>
                <w:rFonts w:ascii="Cambria" w:hAnsi="Cambria"/>
                <w:b/>
                <w:sz w:val="20"/>
                <w:szCs w:val="20"/>
              </w:rPr>
              <w:t>Předcházení riziku a řízení</w:t>
            </w:r>
            <w:r w:rsidR="00465C6A" w:rsidRPr="00444C3E">
              <w:rPr>
                <w:rFonts w:ascii="Cambria" w:hAnsi="Cambria"/>
                <w:b/>
                <w:sz w:val="20"/>
                <w:szCs w:val="20"/>
              </w:rPr>
              <w:t xml:space="preserve"> rizika</w:t>
            </w:r>
            <w:r w:rsidR="00C1052E" w:rsidRPr="00444C3E">
              <w:rPr>
                <w:rFonts w:ascii="Cambria" w:hAnsi="Cambria"/>
                <w:b/>
                <w:sz w:val="20"/>
                <w:szCs w:val="20"/>
              </w:rPr>
              <w:t>:</w:t>
            </w:r>
            <w:r w:rsidR="00C1052E" w:rsidRPr="00444C3E">
              <w:rPr>
                <w:rFonts w:ascii="Cambria" w:hAnsi="Cambria"/>
                <w:sz w:val="20"/>
                <w:szCs w:val="20"/>
              </w:rPr>
              <w:t xml:space="preserve"> </w:t>
            </w:r>
            <w:r w:rsidR="00C1052E" w:rsidRPr="00444C3E">
              <w:rPr>
                <w:rFonts w:ascii="Cambria" w:hAnsi="Cambria"/>
                <w:b/>
                <w:sz w:val="20"/>
                <w:szCs w:val="20"/>
              </w:rPr>
              <w:t xml:space="preserve">Existence vnitrostátního nebo regionálního posuzování </w:t>
            </w:r>
            <w:r w:rsidR="00C1052E" w:rsidRPr="00444C3E">
              <w:rPr>
                <w:rFonts w:ascii="Cambria" w:hAnsi="Cambria"/>
                <w:b/>
                <w:sz w:val="20"/>
                <w:szCs w:val="20"/>
              </w:rPr>
              <w:lastRenderedPageBreak/>
              <w:t>rizik pro zvládání katastrof s ohledem na přizpůsobení se změně klimatu</w:t>
            </w:r>
          </w:p>
        </w:tc>
        <w:tc>
          <w:tcPr>
            <w:tcW w:w="1174" w:type="dxa"/>
            <w:shd w:val="clear" w:color="auto" w:fill="EAF1DD" w:themeFill="accent3" w:themeFillTint="33"/>
            <w:tcMar>
              <w:left w:w="28" w:type="dxa"/>
              <w:right w:w="28" w:type="dxa"/>
            </w:tcMar>
          </w:tcPr>
          <w:p w14:paraId="316DCD68" w14:textId="77777777" w:rsidR="002802F9" w:rsidRPr="00444C3E" w:rsidRDefault="00BD2B96" w:rsidP="008165D1">
            <w:pPr>
              <w:pStyle w:val="DAVA"/>
              <w:spacing w:before="60"/>
              <w:jc w:val="left"/>
              <w:rPr>
                <w:rFonts w:ascii="Cambria" w:hAnsi="Cambria"/>
                <w:b/>
                <w:sz w:val="20"/>
                <w:szCs w:val="20"/>
              </w:rPr>
            </w:pPr>
            <w:r w:rsidRPr="00444C3E">
              <w:rPr>
                <w:rFonts w:ascii="Cambria" w:hAnsi="Cambria"/>
                <w:b/>
                <w:sz w:val="20"/>
                <w:szCs w:val="20"/>
              </w:rPr>
              <w:lastRenderedPageBreak/>
              <w:t xml:space="preserve">* </w:t>
            </w:r>
            <w:r w:rsidR="00AE3E29" w:rsidRPr="00444C3E">
              <w:rPr>
                <w:rFonts w:ascii="Cambria" w:hAnsi="Cambria"/>
                <w:b/>
                <w:sz w:val="20"/>
                <w:szCs w:val="20"/>
                <w:u w:val="single"/>
              </w:rPr>
              <w:t>OPŽP 2014-2020</w:t>
            </w:r>
            <w:r w:rsidR="00CA620D" w:rsidRPr="00444C3E">
              <w:rPr>
                <w:rStyle w:val="Znakapoznpodarou"/>
                <w:rFonts w:ascii="Cambria" w:hAnsi="Cambria"/>
                <w:b/>
                <w:sz w:val="20"/>
                <w:szCs w:val="20"/>
              </w:rPr>
              <w:footnoteReference w:id="3"/>
            </w:r>
          </w:p>
          <w:p w14:paraId="5C6DCE9F" w14:textId="77777777" w:rsidR="00CE3F34" w:rsidRPr="00444C3E" w:rsidRDefault="00CE3F34" w:rsidP="008165D1">
            <w:pPr>
              <w:pStyle w:val="DAVA"/>
              <w:spacing w:before="60"/>
              <w:jc w:val="left"/>
              <w:rPr>
                <w:rFonts w:ascii="Cambria" w:hAnsi="Cambria"/>
                <w:sz w:val="20"/>
                <w:szCs w:val="20"/>
              </w:rPr>
            </w:pPr>
            <w:r w:rsidRPr="00444C3E">
              <w:rPr>
                <w:rFonts w:ascii="Cambria" w:hAnsi="Cambria"/>
                <w:b/>
                <w:sz w:val="20"/>
                <w:szCs w:val="20"/>
              </w:rPr>
              <w:t>Prioritní osa 1:</w:t>
            </w:r>
            <w:r w:rsidRPr="00444C3E">
              <w:rPr>
                <w:rFonts w:ascii="Cambria" w:hAnsi="Cambria"/>
                <w:sz w:val="20"/>
                <w:szCs w:val="20"/>
              </w:rPr>
              <w:t xml:space="preserve"> Zlepšování kvality vody a snižování rizika povodní; </w:t>
            </w:r>
          </w:p>
          <w:p w14:paraId="7B9C85CF" w14:textId="77777777" w:rsidR="00D8521B" w:rsidRPr="00444C3E" w:rsidRDefault="00CE3F34" w:rsidP="008165D1">
            <w:pPr>
              <w:pStyle w:val="DAVA"/>
              <w:spacing w:before="60"/>
              <w:jc w:val="left"/>
              <w:rPr>
                <w:rFonts w:ascii="Cambria" w:hAnsi="Cambria"/>
                <w:sz w:val="20"/>
                <w:szCs w:val="20"/>
              </w:rPr>
            </w:pPr>
            <w:r w:rsidRPr="00444C3E">
              <w:rPr>
                <w:rFonts w:ascii="Cambria" w:hAnsi="Cambria"/>
                <w:b/>
                <w:sz w:val="20"/>
                <w:szCs w:val="20"/>
              </w:rPr>
              <w:t>Prioritní osa 4:</w:t>
            </w:r>
            <w:r w:rsidRPr="00444C3E">
              <w:rPr>
                <w:rFonts w:ascii="Cambria" w:hAnsi="Cambria"/>
                <w:sz w:val="20"/>
                <w:szCs w:val="20"/>
              </w:rPr>
              <w:t xml:space="preserve"> Ochrana a péče o přírodu a krajinu</w:t>
            </w:r>
            <w:r w:rsidR="003449EF" w:rsidRPr="00444C3E">
              <w:rPr>
                <w:rFonts w:ascii="Cambria" w:hAnsi="Cambria"/>
                <w:sz w:val="20"/>
                <w:szCs w:val="20"/>
              </w:rPr>
              <w:t>;</w:t>
            </w:r>
          </w:p>
          <w:p w14:paraId="3EC648D7" w14:textId="77777777" w:rsidR="00496E65" w:rsidRPr="00444C3E" w:rsidRDefault="00496E65" w:rsidP="008165D1">
            <w:pPr>
              <w:pStyle w:val="DAVA"/>
              <w:spacing w:before="60"/>
              <w:jc w:val="left"/>
              <w:rPr>
                <w:rFonts w:ascii="Cambria" w:hAnsi="Cambria"/>
                <w:sz w:val="20"/>
                <w:szCs w:val="20"/>
              </w:rPr>
            </w:pPr>
          </w:p>
          <w:p w14:paraId="57E536A6" w14:textId="77777777" w:rsidR="005E08C2" w:rsidRPr="00444C3E" w:rsidRDefault="00BD2B96" w:rsidP="008165D1">
            <w:pPr>
              <w:pStyle w:val="DAVA"/>
              <w:spacing w:before="60"/>
              <w:jc w:val="left"/>
              <w:rPr>
                <w:rFonts w:ascii="Cambria" w:hAnsi="Cambria"/>
                <w:b/>
                <w:sz w:val="20"/>
                <w:szCs w:val="20"/>
                <w:u w:val="single"/>
              </w:rPr>
            </w:pPr>
            <w:r w:rsidRPr="00444C3E">
              <w:rPr>
                <w:rFonts w:ascii="Cambria" w:hAnsi="Cambria"/>
                <w:b/>
                <w:sz w:val="20"/>
                <w:szCs w:val="20"/>
              </w:rPr>
              <w:t xml:space="preserve">* </w:t>
            </w:r>
            <w:r w:rsidRPr="00444C3E">
              <w:rPr>
                <w:rFonts w:ascii="Cambria" w:hAnsi="Cambria"/>
                <w:b/>
                <w:sz w:val="20"/>
                <w:szCs w:val="20"/>
                <w:u w:val="single"/>
              </w:rPr>
              <w:t>PRV</w:t>
            </w:r>
          </w:p>
          <w:p w14:paraId="0F6E5048" w14:textId="77777777" w:rsidR="00496E65" w:rsidRPr="00444C3E" w:rsidRDefault="00496E65" w:rsidP="008165D1">
            <w:pPr>
              <w:pStyle w:val="DAVA"/>
              <w:spacing w:before="60"/>
              <w:jc w:val="left"/>
              <w:rPr>
                <w:rFonts w:ascii="Cambria" w:hAnsi="Cambria"/>
                <w:b/>
                <w:sz w:val="20"/>
                <w:szCs w:val="20"/>
              </w:rPr>
            </w:pPr>
          </w:p>
          <w:p w14:paraId="160A82B2" w14:textId="77777777" w:rsidR="00BD2B96" w:rsidRPr="00444C3E" w:rsidRDefault="00BD2B96" w:rsidP="008165D1">
            <w:pPr>
              <w:pStyle w:val="DAVA"/>
              <w:spacing w:before="60"/>
              <w:jc w:val="left"/>
              <w:rPr>
                <w:rFonts w:ascii="Cambria" w:hAnsi="Cambria"/>
                <w:b/>
                <w:sz w:val="20"/>
                <w:szCs w:val="20"/>
                <w:u w:val="single"/>
              </w:rPr>
            </w:pPr>
            <w:r w:rsidRPr="00444C3E">
              <w:rPr>
                <w:rFonts w:ascii="Cambria" w:hAnsi="Cambria"/>
                <w:b/>
                <w:sz w:val="20"/>
                <w:szCs w:val="20"/>
              </w:rPr>
              <w:lastRenderedPageBreak/>
              <w:t xml:space="preserve">* </w:t>
            </w:r>
            <w:r w:rsidRPr="00444C3E">
              <w:rPr>
                <w:rFonts w:ascii="Cambria" w:hAnsi="Cambria"/>
                <w:b/>
                <w:sz w:val="20"/>
                <w:szCs w:val="20"/>
                <w:u w:val="single"/>
              </w:rPr>
              <w:t>IROP</w:t>
            </w:r>
          </w:p>
          <w:p w14:paraId="2C44A468" w14:textId="77777777" w:rsidR="00496E65" w:rsidRPr="00444C3E" w:rsidRDefault="00496E65" w:rsidP="00FE2FE4">
            <w:pPr>
              <w:pStyle w:val="DAVA"/>
              <w:spacing w:before="60"/>
              <w:jc w:val="left"/>
              <w:rPr>
                <w:rFonts w:ascii="Cambria" w:hAnsi="Cambria"/>
                <w:b/>
                <w:sz w:val="20"/>
                <w:szCs w:val="20"/>
              </w:rPr>
            </w:pPr>
            <w:r w:rsidRPr="00444C3E">
              <w:rPr>
                <w:rFonts w:ascii="Cambria" w:hAnsi="Cambria"/>
                <w:b/>
                <w:sz w:val="20"/>
                <w:szCs w:val="20"/>
              </w:rPr>
              <w:t xml:space="preserve">Prioritní osa 1: </w:t>
            </w:r>
            <w:r w:rsidRPr="00444C3E">
              <w:rPr>
                <w:rFonts w:ascii="Cambria" w:hAnsi="Cambria"/>
                <w:sz w:val="20"/>
                <w:szCs w:val="20"/>
              </w:rPr>
              <w:t>Konkurenceschopné, dostupné a bezpečné regiony</w:t>
            </w:r>
          </w:p>
        </w:tc>
        <w:tc>
          <w:tcPr>
            <w:tcW w:w="1094" w:type="dxa"/>
            <w:shd w:val="clear" w:color="auto" w:fill="EAF1DD" w:themeFill="accent3" w:themeFillTint="33"/>
            <w:tcMar>
              <w:left w:w="28" w:type="dxa"/>
              <w:right w:w="28" w:type="dxa"/>
            </w:tcMar>
          </w:tcPr>
          <w:p w14:paraId="6063F708" w14:textId="77777777" w:rsidR="00D8521B" w:rsidRPr="00444C3E" w:rsidRDefault="008E6B02" w:rsidP="008165D1">
            <w:pPr>
              <w:pStyle w:val="DAVA"/>
              <w:spacing w:before="60"/>
              <w:jc w:val="center"/>
              <w:rPr>
                <w:rFonts w:ascii="Cambria" w:hAnsi="Cambria"/>
                <w:sz w:val="20"/>
                <w:szCs w:val="20"/>
              </w:rPr>
            </w:pPr>
            <w:r w:rsidRPr="00444C3E">
              <w:rPr>
                <w:rFonts w:ascii="Cambria" w:hAnsi="Cambria"/>
                <w:sz w:val="20"/>
                <w:szCs w:val="20"/>
              </w:rPr>
              <w:lastRenderedPageBreak/>
              <w:t>částečně</w:t>
            </w:r>
          </w:p>
        </w:tc>
        <w:tc>
          <w:tcPr>
            <w:tcW w:w="992" w:type="dxa"/>
            <w:shd w:val="clear" w:color="auto" w:fill="EAF1DD" w:themeFill="accent3" w:themeFillTint="33"/>
            <w:tcMar>
              <w:left w:w="28" w:type="dxa"/>
              <w:right w:w="28" w:type="dxa"/>
            </w:tcMar>
          </w:tcPr>
          <w:p w14:paraId="7608D228" w14:textId="77777777" w:rsidR="00D8521B" w:rsidRPr="00444C3E" w:rsidRDefault="00CC2233" w:rsidP="008165D1">
            <w:pPr>
              <w:spacing w:before="60" w:after="0" w:line="240" w:lineRule="auto"/>
              <w:rPr>
                <w:rFonts w:ascii="Cambria" w:eastAsia="Times New Roman" w:hAnsi="Cambria"/>
                <w:sz w:val="20"/>
                <w:szCs w:val="20"/>
                <w:lang w:eastAsia="cs-CZ"/>
              </w:rPr>
            </w:pPr>
            <w:r w:rsidRPr="00444C3E">
              <w:rPr>
                <w:rFonts w:ascii="Cambria" w:eastAsia="Times New Roman" w:hAnsi="Cambria"/>
                <w:sz w:val="20"/>
                <w:szCs w:val="20"/>
                <w:lang w:eastAsia="cs-CZ"/>
              </w:rPr>
              <w:t xml:space="preserve">Je zavedeno </w:t>
            </w:r>
            <w:r w:rsidR="00C1052E" w:rsidRPr="00444C3E">
              <w:rPr>
                <w:rFonts w:ascii="Cambria" w:eastAsia="Times New Roman" w:hAnsi="Cambria"/>
                <w:b/>
                <w:sz w:val="20"/>
                <w:szCs w:val="20"/>
                <w:lang w:eastAsia="cs-CZ"/>
              </w:rPr>
              <w:t>vnitrostátní nebo regionální posouzení rizik</w:t>
            </w:r>
            <w:r w:rsidR="00C1052E" w:rsidRPr="00444C3E">
              <w:rPr>
                <w:rFonts w:ascii="Cambria" w:eastAsia="Times New Roman" w:hAnsi="Cambria"/>
                <w:sz w:val="20"/>
                <w:szCs w:val="20"/>
                <w:lang w:eastAsia="cs-CZ"/>
              </w:rPr>
              <w:t xml:space="preserve"> obsahující tyto prvky:</w:t>
            </w:r>
          </w:p>
        </w:tc>
        <w:tc>
          <w:tcPr>
            <w:tcW w:w="993" w:type="dxa"/>
            <w:shd w:val="clear" w:color="auto" w:fill="EAF1DD" w:themeFill="accent3" w:themeFillTint="33"/>
            <w:tcMar>
              <w:left w:w="28" w:type="dxa"/>
              <w:right w:w="28" w:type="dxa"/>
            </w:tcMar>
          </w:tcPr>
          <w:p w14:paraId="37E8B6A9" w14:textId="3F4038EA" w:rsidR="009C01D5" w:rsidRDefault="009C01D5" w:rsidP="007E7B3D">
            <w:pPr>
              <w:pStyle w:val="DAVA"/>
              <w:spacing w:before="60"/>
              <w:rPr>
                <w:rFonts w:ascii="Cambria" w:hAnsi="Cambria"/>
                <w:sz w:val="20"/>
                <w:szCs w:val="20"/>
              </w:rPr>
            </w:pPr>
          </w:p>
          <w:p w14:paraId="4B734A15" w14:textId="6D47EFB8" w:rsidR="00D8521B" w:rsidRPr="00444C3E" w:rsidRDefault="009C01D5" w:rsidP="008165D1">
            <w:pPr>
              <w:pStyle w:val="DAVA"/>
              <w:spacing w:before="60"/>
              <w:jc w:val="center"/>
              <w:rPr>
                <w:rFonts w:ascii="Cambria" w:hAnsi="Cambria"/>
                <w:sz w:val="20"/>
                <w:szCs w:val="20"/>
              </w:rPr>
            </w:pPr>
            <w:r>
              <w:rPr>
                <w:rFonts w:ascii="Cambria" w:hAnsi="Cambria"/>
                <w:sz w:val="20"/>
                <w:szCs w:val="20"/>
              </w:rPr>
              <w:t>(</w:t>
            </w:r>
            <w:r w:rsidR="003A756F" w:rsidRPr="00444C3E">
              <w:rPr>
                <w:rFonts w:ascii="Cambria" w:hAnsi="Cambria"/>
                <w:sz w:val="20"/>
                <w:szCs w:val="20"/>
              </w:rPr>
              <w:t>částečně</w:t>
            </w:r>
            <w:r>
              <w:rPr>
                <w:rFonts w:ascii="Cambria" w:hAnsi="Cambria"/>
                <w:sz w:val="20"/>
                <w:szCs w:val="20"/>
              </w:rPr>
              <w:t>)</w:t>
            </w:r>
          </w:p>
        </w:tc>
        <w:tc>
          <w:tcPr>
            <w:tcW w:w="3685" w:type="dxa"/>
            <w:shd w:val="clear" w:color="auto" w:fill="EAF1DD" w:themeFill="accent3" w:themeFillTint="33"/>
            <w:tcMar>
              <w:left w:w="28" w:type="dxa"/>
              <w:right w:w="28" w:type="dxa"/>
            </w:tcMar>
          </w:tcPr>
          <w:p w14:paraId="20EDE3B8" w14:textId="77777777" w:rsidR="003C7786" w:rsidRPr="00444C3E" w:rsidRDefault="006C369D" w:rsidP="007A1D96">
            <w:pPr>
              <w:pStyle w:val="DAVA"/>
              <w:spacing w:before="0"/>
              <w:jc w:val="left"/>
              <w:rPr>
                <w:rFonts w:ascii="Cambria" w:hAnsi="Cambria"/>
                <w:b/>
                <w:sz w:val="20"/>
                <w:szCs w:val="20"/>
                <w:u w:val="single"/>
              </w:rPr>
            </w:pPr>
            <w:r w:rsidRPr="00444C3E">
              <w:rPr>
                <w:rFonts w:ascii="Cambria" w:hAnsi="Cambria"/>
                <w:b/>
                <w:sz w:val="20"/>
                <w:szCs w:val="20"/>
              </w:rPr>
              <w:t xml:space="preserve">- </w:t>
            </w:r>
            <w:r w:rsidR="003C7786" w:rsidRPr="00444C3E">
              <w:rPr>
                <w:rFonts w:ascii="Cambria" w:hAnsi="Cambria"/>
                <w:b/>
                <w:sz w:val="20"/>
                <w:szCs w:val="20"/>
                <w:u w:val="single"/>
              </w:rPr>
              <w:t>Plány pro zvládání povodňových rizik:</w:t>
            </w:r>
          </w:p>
          <w:p w14:paraId="6145C662" w14:textId="77777777" w:rsidR="00CA2653" w:rsidRPr="00444C3E" w:rsidRDefault="00CA2653" w:rsidP="007A1D96">
            <w:pPr>
              <w:pStyle w:val="DAVA"/>
              <w:spacing w:before="0"/>
              <w:jc w:val="left"/>
              <w:rPr>
                <w:rFonts w:ascii="Cambria" w:hAnsi="Cambria"/>
                <w:sz w:val="20"/>
                <w:szCs w:val="20"/>
              </w:rPr>
            </w:pPr>
            <w:r w:rsidRPr="00444C3E">
              <w:rPr>
                <w:rFonts w:ascii="Cambria" w:hAnsi="Cambria"/>
                <w:sz w:val="20"/>
                <w:szCs w:val="20"/>
              </w:rPr>
              <w:t>  </w:t>
            </w:r>
            <w:hyperlink r:id="rId10" w:history="1">
              <w:r w:rsidRPr="00444C3E">
                <w:rPr>
                  <w:rStyle w:val="Hypertextovodkaz"/>
                  <w:rFonts w:ascii="Cambria" w:hAnsi="Cambria"/>
                  <w:sz w:val="20"/>
                  <w:szCs w:val="20"/>
                </w:rPr>
                <w:t>http://www.mzp.cz/cz/mapy_povodnoveho_nebezpeci_rizik_odkaz</w:t>
              </w:r>
            </w:hyperlink>
          </w:p>
          <w:p w14:paraId="4CD894D0" w14:textId="77777777" w:rsidR="00893433" w:rsidRPr="00444C3E" w:rsidRDefault="00893433" w:rsidP="007A1D96">
            <w:pPr>
              <w:pStyle w:val="DAVA"/>
              <w:spacing w:before="0"/>
              <w:jc w:val="left"/>
              <w:rPr>
                <w:rFonts w:ascii="Cambria" w:hAnsi="Cambria"/>
                <w:sz w:val="20"/>
                <w:szCs w:val="20"/>
              </w:rPr>
            </w:pPr>
          </w:p>
          <w:p w14:paraId="2BD1C907" w14:textId="77777777" w:rsidR="00BA6E6C" w:rsidRPr="00444C3E" w:rsidRDefault="006C369D" w:rsidP="00185D69">
            <w:pPr>
              <w:pStyle w:val="DAVA"/>
              <w:spacing w:before="0"/>
              <w:ind w:left="113" w:hanging="113"/>
              <w:jc w:val="left"/>
              <w:rPr>
                <w:rFonts w:ascii="Cambria" w:hAnsi="Cambria"/>
                <w:b/>
                <w:sz w:val="20"/>
                <w:szCs w:val="20"/>
                <w:u w:val="single"/>
              </w:rPr>
            </w:pPr>
            <w:r w:rsidRPr="00444C3E">
              <w:rPr>
                <w:rFonts w:ascii="Cambria" w:hAnsi="Cambria"/>
                <w:b/>
                <w:sz w:val="20"/>
                <w:szCs w:val="20"/>
              </w:rPr>
              <w:t xml:space="preserve">- </w:t>
            </w:r>
            <w:r w:rsidR="003C7786" w:rsidRPr="00444C3E">
              <w:rPr>
                <w:rFonts w:ascii="Cambria" w:hAnsi="Cambria"/>
                <w:b/>
                <w:sz w:val="20"/>
                <w:szCs w:val="20"/>
                <w:u w:val="single"/>
              </w:rPr>
              <w:t>Plány povodí:</w:t>
            </w:r>
          </w:p>
          <w:p w14:paraId="2A19E6BD" w14:textId="77777777" w:rsidR="003C7786" w:rsidRPr="00444C3E" w:rsidRDefault="00185D69" w:rsidP="00185D69">
            <w:pPr>
              <w:pStyle w:val="DAVA"/>
              <w:spacing w:before="0"/>
              <w:ind w:left="113" w:hanging="113"/>
              <w:jc w:val="left"/>
              <w:rPr>
                <w:rFonts w:ascii="Cambria" w:hAnsi="Cambria"/>
                <w:sz w:val="20"/>
                <w:szCs w:val="20"/>
              </w:rPr>
            </w:pPr>
            <w:r w:rsidRPr="00444C3E">
              <w:rPr>
                <w:rFonts w:ascii="Cambria" w:hAnsi="Cambria"/>
                <w:sz w:val="20"/>
                <w:szCs w:val="20"/>
              </w:rPr>
              <w:t xml:space="preserve">  -</w:t>
            </w:r>
            <w:r w:rsidR="003C7786" w:rsidRPr="00444C3E">
              <w:rPr>
                <w:rFonts w:ascii="Cambria" w:hAnsi="Cambria"/>
                <w:sz w:val="20"/>
                <w:szCs w:val="20"/>
              </w:rPr>
              <w:t>Plány A</w:t>
            </w:r>
            <w:r w:rsidR="00F20073" w:rsidRPr="00444C3E">
              <w:rPr>
                <w:rFonts w:ascii="Cambria" w:hAnsi="Cambria"/>
                <w:sz w:val="20"/>
                <w:szCs w:val="20"/>
              </w:rPr>
              <w:t xml:space="preserve"> - </w:t>
            </w:r>
            <w:r w:rsidR="00F20073" w:rsidRPr="00444C3E">
              <w:rPr>
                <w:rFonts w:ascii="Cambria" w:hAnsi="Cambria"/>
                <w:b/>
                <w:sz w:val="20"/>
                <w:szCs w:val="20"/>
              </w:rPr>
              <w:t>Plány mezinárodních povodí</w:t>
            </w:r>
            <w:r w:rsidR="00F20073" w:rsidRPr="00444C3E">
              <w:rPr>
                <w:rFonts w:ascii="Cambria" w:hAnsi="Cambria"/>
                <w:sz w:val="20"/>
                <w:szCs w:val="20"/>
              </w:rPr>
              <w:t>:</w:t>
            </w:r>
          </w:p>
          <w:p w14:paraId="3EB5A84B" w14:textId="77777777" w:rsidR="003C7786" w:rsidRPr="00444C3E" w:rsidRDefault="006C369D" w:rsidP="00185D69">
            <w:pPr>
              <w:pStyle w:val="DAVA"/>
              <w:spacing w:before="0"/>
              <w:ind w:left="255" w:hanging="255"/>
              <w:jc w:val="left"/>
              <w:rPr>
                <w:rFonts w:ascii="Cambria" w:hAnsi="Cambria"/>
                <w:sz w:val="20"/>
                <w:szCs w:val="20"/>
              </w:rPr>
            </w:pPr>
            <w:r w:rsidRPr="00444C3E">
              <w:rPr>
                <w:rFonts w:ascii="Cambria" w:hAnsi="Cambria"/>
                <w:sz w:val="20"/>
                <w:szCs w:val="20"/>
              </w:rPr>
              <w:t>  </w:t>
            </w:r>
            <w:r w:rsidR="00185D69" w:rsidRPr="00444C3E">
              <w:rPr>
                <w:rFonts w:ascii="Cambria" w:hAnsi="Cambria"/>
                <w:sz w:val="20"/>
                <w:szCs w:val="20"/>
              </w:rPr>
              <w:t>   </w:t>
            </w:r>
            <w:r w:rsidR="003C7786" w:rsidRPr="00444C3E">
              <w:rPr>
                <w:rFonts w:ascii="Cambria" w:hAnsi="Cambria"/>
                <w:b/>
                <w:sz w:val="20"/>
                <w:szCs w:val="20"/>
              </w:rPr>
              <w:t>Dunaj</w:t>
            </w:r>
            <w:r w:rsidR="003C7786" w:rsidRPr="00444C3E">
              <w:rPr>
                <w:rFonts w:ascii="Cambria" w:hAnsi="Cambria"/>
                <w:sz w:val="20"/>
                <w:szCs w:val="20"/>
              </w:rPr>
              <w:t> </w:t>
            </w:r>
            <w:hyperlink r:id="rId11" w:history="1">
              <w:r w:rsidR="003C7786" w:rsidRPr="00444C3E">
                <w:rPr>
                  <w:rStyle w:val="Hypertextovodkaz"/>
                  <w:rFonts w:ascii="Cambria" w:hAnsi="Cambria"/>
                  <w:sz w:val="20"/>
                  <w:szCs w:val="20"/>
                </w:rPr>
                <w:t>http://www.icpdr.org/participate/danube_river_basin_management_plan</w:t>
              </w:r>
            </w:hyperlink>
          </w:p>
          <w:p w14:paraId="5A061199" w14:textId="77777777" w:rsidR="003C7786" w:rsidRPr="00444C3E" w:rsidRDefault="006C369D" w:rsidP="00185D69">
            <w:pPr>
              <w:pStyle w:val="DAVA"/>
              <w:spacing w:before="0"/>
              <w:ind w:left="255" w:hanging="255"/>
              <w:jc w:val="left"/>
              <w:rPr>
                <w:rFonts w:ascii="Cambria" w:hAnsi="Cambria"/>
                <w:sz w:val="20"/>
                <w:szCs w:val="20"/>
              </w:rPr>
            </w:pPr>
            <w:r w:rsidRPr="00444C3E">
              <w:rPr>
                <w:rFonts w:ascii="Cambria" w:hAnsi="Cambria"/>
                <w:sz w:val="20"/>
                <w:szCs w:val="20"/>
              </w:rPr>
              <w:t>  </w:t>
            </w:r>
            <w:r w:rsidR="00185D69" w:rsidRPr="00444C3E">
              <w:rPr>
                <w:rFonts w:ascii="Cambria" w:hAnsi="Cambria"/>
                <w:sz w:val="20"/>
                <w:szCs w:val="20"/>
              </w:rPr>
              <w:t>   </w:t>
            </w:r>
            <w:r w:rsidR="003C7786" w:rsidRPr="00444C3E">
              <w:rPr>
                <w:rFonts w:ascii="Cambria" w:hAnsi="Cambria"/>
                <w:b/>
                <w:sz w:val="20"/>
                <w:szCs w:val="20"/>
              </w:rPr>
              <w:t>Labe</w:t>
            </w:r>
            <w:r w:rsidR="003C7786" w:rsidRPr="00444C3E">
              <w:rPr>
                <w:rFonts w:ascii="Cambria" w:hAnsi="Cambria"/>
                <w:sz w:val="20"/>
                <w:szCs w:val="20"/>
              </w:rPr>
              <w:t> </w:t>
            </w:r>
            <w:hyperlink r:id="rId12" w:history="1">
              <w:r w:rsidR="003C7786" w:rsidRPr="00444C3E">
                <w:rPr>
                  <w:rStyle w:val="Hypertextovodkaz"/>
                  <w:rFonts w:ascii="Cambria" w:hAnsi="Cambria"/>
                  <w:sz w:val="20"/>
                  <w:szCs w:val="20"/>
                </w:rPr>
                <w:t>http://www.ikse-mkol.org/index.php?id=513&amp;L=1</w:t>
              </w:r>
            </w:hyperlink>
          </w:p>
          <w:p w14:paraId="35DDF7F2" w14:textId="77777777" w:rsidR="006C369D" w:rsidRPr="00444C3E" w:rsidRDefault="006C369D" w:rsidP="00185D69">
            <w:pPr>
              <w:pStyle w:val="DAVA"/>
              <w:spacing w:before="0"/>
              <w:ind w:left="255" w:hanging="255"/>
              <w:jc w:val="left"/>
              <w:rPr>
                <w:rFonts w:ascii="Cambria" w:hAnsi="Cambria"/>
                <w:sz w:val="20"/>
                <w:szCs w:val="20"/>
              </w:rPr>
            </w:pPr>
            <w:r w:rsidRPr="00444C3E">
              <w:rPr>
                <w:rFonts w:ascii="Cambria" w:hAnsi="Cambria"/>
                <w:sz w:val="20"/>
                <w:szCs w:val="20"/>
              </w:rPr>
              <w:t>  </w:t>
            </w:r>
            <w:r w:rsidR="00185D69" w:rsidRPr="00444C3E">
              <w:rPr>
                <w:rFonts w:ascii="Cambria" w:hAnsi="Cambria"/>
                <w:sz w:val="20"/>
                <w:szCs w:val="20"/>
              </w:rPr>
              <w:t>   </w:t>
            </w:r>
            <w:r w:rsidR="003C7786" w:rsidRPr="00444C3E">
              <w:rPr>
                <w:rFonts w:ascii="Cambria" w:hAnsi="Cambria"/>
                <w:b/>
                <w:sz w:val="20"/>
                <w:szCs w:val="20"/>
              </w:rPr>
              <w:t>Odra</w:t>
            </w:r>
            <w:r w:rsidR="003C7786" w:rsidRPr="00444C3E">
              <w:rPr>
                <w:rFonts w:ascii="Cambria" w:hAnsi="Cambria"/>
                <w:sz w:val="20"/>
                <w:szCs w:val="20"/>
              </w:rPr>
              <w:t> </w:t>
            </w:r>
            <w:hyperlink r:id="rId13" w:history="1">
              <w:r w:rsidR="003C7786" w:rsidRPr="00444C3E">
                <w:rPr>
                  <w:rStyle w:val="Hypertextovodkaz"/>
                  <w:rFonts w:ascii="Cambria" w:hAnsi="Cambria"/>
                  <w:sz w:val="20"/>
                  <w:szCs w:val="20"/>
                </w:rPr>
                <w:t>http://www.mkoo.pl/show.php?fid=2808&amp;lang=CZ</w:t>
              </w:r>
            </w:hyperlink>
            <w:r w:rsidR="00F20073" w:rsidRPr="00444C3E">
              <w:rPr>
                <w:rFonts w:ascii="Cambria" w:hAnsi="Cambria"/>
                <w:sz w:val="20"/>
                <w:szCs w:val="20"/>
              </w:rPr>
              <w:t xml:space="preserve"> </w:t>
            </w:r>
          </w:p>
          <w:p w14:paraId="1F7DBED5" w14:textId="77777777" w:rsidR="003C7786" w:rsidRPr="00444C3E" w:rsidRDefault="00185D69" w:rsidP="00185D69">
            <w:pPr>
              <w:pStyle w:val="DAVA"/>
              <w:spacing w:before="0"/>
              <w:ind w:left="113" w:hanging="113"/>
              <w:jc w:val="left"/>
              <w:rPr>
                <w:rFonts w:ascii="Cambria" w:hAnsi="Cambria"/>
                <w:sz w:val="20"/>
                <w:szCs w:val="20"/>
              </w:rPr>
            </w:pPr>
            <w:r w:rsidRPr="00444C3E">
              <w:rPr>
                <w:rFonts w:ascii="Cambria" w:hAnsi="Cambria"/>
                <w:sz w:val="20"/>
                <w:szCs w:val="20"/>
              </w:rPr>
              <w:t xml:space="preserve">  -</w:t>
            </w:r>
            <w:r w:rsidR="003C7786" w:rsidRPr="00444C3E">
              <w:rPr>
                <w:rFonts w:ascii="Cambria" w:hAnsi="Cambria"/>
                <w:sz w:val="20"/>
                <w:szCs w:val="20"/>
              </w:rPr>
              <w:t>Plány</w:t>
            </w:r>
            <w:r w:rsidR="00F20073" w:rsidRPr="00444C3E">
              <w:rPr>
                <w:rFonts w:ascii="Cambria" w:hAnsi="Cambria"/>
                <w:sz w:val="20"/>
                <w:szCs w:val="20"/>
              </w:rPr>
              <w:t xml:space="preserve"> B - </w:t>
            </w:r>
            <w:r w:rsidR="00F20073" w:rsidRPr="00444C3E">
              <w:rPr>
                <w:rFonts w:ascii="Cambria" w:hAnsi="Cambria"/>
                <w:b/>
                <w:sz w:val="20"/>
                <w:szCs w:val="20"/>
              </w:rPr>
              <w:t>Plány národních částí mezinárodních povodí</w:t>
            </w:r>
            <w:r w:rsidR="00F20073" w:rsidRPr="00444C3E">
              <w:rPr>
                <w:rFonts w:ascii="Cambria" w:hAnsi="Cambria"/>
                <w:sz w:val="20"/>
                <w:szCs w:val="20"/>
              </w:rPr>
              <w:t>:</w:t>
            </w:r>
            <w:r w:rsidRPr="00444C3E">
              <w:rPr>
                <w:rFonts w:ascii="Cambria" w:hAnsi="Cambria"/>
                <w:sz w:val="20"/>
                <w:szCs w:val="20"/>
              </w:rPr>
              <w:t> </w:t>
            </w:r>
            <w:hyperlink r:id="rId14" w:history="1">
              <w:r w:rsidR="003C7786" w:rsidRPr="00444C3E">
                <w:rPr>
                  <w:rStyle w:val="Hypertextovodkaz"/>
                  <w:rFonts w:ascii="Cambria" w:hAnsi="Cambria"/>
                  <w:sz w:val="20"/>
                  <w:szCs w:val="20"/>
                </w:rPr>
                <w:t>http://www.mzp.cz/cz/plany_narodnich_casti_mezinarodnich_povodi</w:t>
              </w:r>
            </w:hyperlink>
          </w:p>
          <w:p w14:paraId="360EA288" w14:textId="77777777" w:rsidR="003C7786" w:rsidRPr="00444C3E" w:rsidRDefault="00185D69" w:rsidP="00185D69">
            <w:pPr>
              <w:pStyle w:val="DAVA"/>
              <w:spacing w:before="0"/>
              <w:ind w:left="113" w:hanging="113"/>
              <w:jc w:val="left"/>
              <w:rPr>
                <w:rFonts w:ascii="Cambria" w:hAnsi="Cambria"/>
                <w:sz w:val="20"/>
                <w:szCs w:val="20"/>
              </w:rPr>
            </w:pPr>
            <w:r w:rsidRPr="00444C3E">
              <w:rPr>
                <w:rFonts w:ascii="Cambria" w:hAnsi="Cambria"/>
                <w:sz w:val="20"/>
                <w:szCs w:val="20"/>
              </w:rPr>
              <w:t xml:space="preserve">  -</w:t>
            </w:r>
            <w:r w:rsidR="00F20073" w:rsidRPr="00444C3E">
              <w:rPr>
                <w:rFonts w:ascii="Cambria" w:hAnsi="Cambria"/>
                <w:sz w:val="20"/>
                <w:szCs w:val="20"/>
              </w:rPr>
              <w:t xml:space="preserve">Plány C - </w:t>
            </w:r>
            <w:r w:rsidR="003C7786" w:rsidRPr="00444C3E">
              <w:rPr>
                <w:rFonts w:ascii="Cambria" w:hAnsi="Cambria"/>
                <w:b/>
                <w:sz w:val="20"/>
                <w:szCs w:val="20"/>
              </w:rPr>
              <w:t>Plán</w:t>
            </w:r>
            <w:r w:rsidR="00F20073" w:rsidRPr="00444C3E">
              <w:rPr>
                <w:rFonts w:ascii="Cambria" w:hAnsi="Cambria"/>
                <w:b/>
                <w:sz w:val="20"/>
                <w:szCs w:val="20"/>
              </w:rPr>
              <w:t>y</w:t>
            </w:r>
            <w:r w:rsidR="003C7786" w:rsidRPr="00444C3E">
              <w:rPr>
                <w:rFonts w:ascii="Cambria" w:hAnsi="Cambria"/>
                <w:b/>
                <w:sz w:val="20"/>
                <w:szCs w:val="20"/>
              </w:rPr>
              <w:t xml:space="preserve"> oblastí povodí</w:t>
            </w:r>
            <w:r w:rsidR="003C7786" w:rsidRPr="00444C3E">
              <w:rPr>
                <w:rFonts w:ascii="Cambria" w:hAnsi="Cambria"/>
                <w:sz w:val="20"/>
                <w:szCs w:val="20"/>
              </w:rPr>
              <w:t xml:space="preserve">: </w:t>
            </w:r>
            <w:hyperlink r:id="rId15" w:history="1">
              <w:r w:rsidR="003C7786" w:rsidRPr="00444C3E">
                <w:rPr>
                  <w:rStyle w:val="Hypertextovodkaz"/>
                  <w:rFonts w:ascii="Cambria" w:hAnsi="Cambria"/>
                  <w:sz w:val="20"/>
                  <w:szCs w:val="20"/>
                </w:rPr>
                <w:t>http://www.mzp.cz/cz/plany_oblasti_povodi</w:t>
              </w:r>
            </w:hyperlink>
          </w:p>
          <w:p w14:paraId="6A7E1B3D" w14:textId="77777777" w:rsidR="003C7786" w:rsidRPr="00444C3E" w:rsidRDefault="003C7786" w:rsidP="007A1D96">
            <w:pPr>
              <w:pStyle w:val="DAVA"/>
              <w:spacing w:before="0"/>
              <w:jc w:val="left"/>
              <w:rPr>
                <w:rFonts w:ascii="Cambria" w:hAnsi="Cambria"/>
                <w:sz w:val="20"/>
                <w:szCs w:val="20"/>
              </w:rPr>
            </w:pPr>
          </w:p>
          <w:p w14:paraId="02E7D937" w14:textId="77777777" w:rsidR="003C04AD" w:rsidRPr="00444C3E" w:rsidRDefault="006C369D" w:rsidP="007A1D96">
            <w:pPr>
              <w:pStyle w:val="DAVA"/>
              <w:spacing w:before="0"/>
              <w:jc w:val="left"/>
              <w:rPr>
                <w:rFonts w:ascii="Cambria" w:hAnsi="Cambria"/>
                <w:b/>
                <w:sz w:val="20"/>
                <w:szCs w:val="20"/>
                <w:u w:val="single"/>
              </w:rPr>
            </w:pPr>
            <w:r w:rsidRPr="00444C3E">
              <w:rPr>
                <w:rFonts w:ascii="Cambria" w:hAnsi="Cambria"/>
                <w:b/>
                <w:sz w:val="20"/>
                <w:szCs w:val="20"/>
              </w:rPr>
              <w:t xml:space="preserve">- </w:t>
            </w:r>
            <w:r w:rsidR="00F20073" w:rsidRPr="00444C3E">
              <w:rPr>
                <w:rFonts w:ascii="Cambria" w:hAnsi="Cambria"/>
                <w:b/>
                <w:sz w:val="20"/>
                <w:szCs w:val="20"/>
                <w:u w:val="single"/>
              </w:rPr>
              <w:t>Koncepce ochrany obyvatelstva:</w:t>
            </w:r>
          </w:p>
          <w:p w14:paraId="1384D598" w14:textId="77777777" w:rsidR="00496E65" w:rsidRPr="00444C3E" w:rsidRDefault="00D17FC4" w:rsidP="00C84396">
            <w:pPr>
              <w:pStyle w:val="DAVA"/>
              <w:spacing w:before="0"/>
              <w:ind w:firstLine="113"/>
              <w:jc w:val="left"/>
              <w:rPr>
                <w:rFonts w:ascii="Cambria" w:hAnsi="Cambria"/>
                <w:sz w:val="20"/>
                <w:szCs w:val="20"/>
              </w:rPr>
            </w:pPr>
            <w:hyperlink r:id="rId16" w:history="1">
              <w:r w:rsidR="00496E65" w:rsidRPr="00444C3E">
                <w:rPr>
                  <w:rStyle w:val="Hypertextovodkaz"/>
                  <w:rFonts w:ascii="Cambria" w:hAnsi="Cambria"/>
                  <w:sz w:val="20"/>
                  <w:szCs w:val="20"/>
                </w:rPr>
                <w:t>http://www.hzscr.cz/clanek/ochrana-obyvatelstva-v-ceske-republice.aspx</w:t>
              </w:r>
            </w:hyperlink>
          </w:p>
          <w:p w14:paraId="6A02EE0D" w14:textId="77777777" w:rsidR="00554F2B" w:rsidRPr="00444C3E" w:rsidRDefault="00D17FC4" w:rsidP="00C84396">
            <w:pPr>
              <w:pStyle w:val="DAVA"/>
              <w:spacing w:before="0"/>
              <w:ind w:firstLine="113"/>
              <w:jc w:val="left"/>
              <w:rPr>
                <w:rFonts w:ascii="Cambria" w:hAnsi="Cambria"/>
                <w:sz w:val="20"/>
                <w:szCs w:val="20"/>
              </w:rPr>
            </w:pPr>
            <w:hyperlink r:id="rId17" w:history="1">
              <w:r w:rsidR="00496E65" w:rsidRPr="00444C3E">
                <w:rPr>
                  <w:rStyle w:val="Hypertextovodkaz"/>
                  <w:rFonts w:ascii="Cambria" w:hAnsi="Cambria"/>
                  <w:sz w:val="20"/>
                  <w:szCs w:val="20"/>
                </w:rPr>
                <w:t>http://databaze-strategie.cz/cz/mv/strategie/koncepce-ochrany-obyvatelstva-do-roku-2020-s-vyhledem-do-roku-2030</w:t>
              </w:r>
            </w:hyperlink>
          </w:p>
          <w:p w14:paraId="0D7364A8" w14:textId="77777777" w:rsidR="0051257C" w:rsidRPr="00444C3E" w:rsidRDefault="0051257C" w:rsidP="007A1D96">
            <w:pPr>
              <w:pStyle w:val="DAVA"/>
              <w:spacing w:before="0"/>
              <w:jc w:val="left"/>
              <w:rPr>
                <w:rFonts w:ascii="Cambria" w:hAnsi="Cambria"/>
                <w:b/>
                <w:sz w:val="20"/>
                <w:szCs w:val="20"/>
                <w:u w:val="single"/>
              </w:rPr>
            </w:pPr>
          </w:p>
          <w:p w14:paraId="1EE94525" w14:textId="77777777" w:rsidR="00C64590" w:rsidRPr="00444C3E" w:rsidRDefault="006C369D" w:rsidP="007A1D96">
            <w:pPr>
              <w:pStyle w:val="DAVA"/>
              <w:spacing w:before="0"/>
              <w:jc w:val="left"/>
              <w:rPr>
                <w:rFonts w:ascii="Cambria" w:hAnsi="Cambria"/>
                <w:sz w:val="20"/>
                <w:szCs w:val="20"/>
              </w:rPr>
            </w:pPr>
            <w:r w:rsidRPr="00444C3E">
              <w:rPr>
                <w:rFonts w:ascii="Cambria" w:hAnsi="Cambria"/>
                <w:b/>
                <w:sz w:val="20"/>
                <w:szCs w:val="20"/>
              </w:rPr>
              <w:t xml:space="preserve">- </w:t>
            </w:r>
            <w:r w:rsidR="00F20073" w:rsidRPr="00444C3E">
              <w:rPr>
                <w:rFonts w:ascii="Cambria" w:hAnsi="Cambria"/>
                <w:b/>
                <w:sz w:val="20"/>
                <w:szCs w:val="20"/>
                <w:u w:val="single"/>
              </w:rPr>
              <w:t>Státní politika životního prostředí:</w:t>
            </w:r>
          </w:p>
          <w:p w14:paraId="760E542F" w14:textId="77777777" w:rsidR="00BA6E6C" w:rsidRPr="00444C3E" w:rsidRDefault="00D17FC4" w:rsidP="007A1D96">
            <w:pPr>
              <w:pStyle w:val="DAVA"/>
              <w:spacing w:before="0"/>
              <w:jc w:val="left"/>
              <w:rPr>
                <w:rFonts w:ascii="Cambria" w:hAnsi="Cambria"/>
                <w:sz w:val="20"/>
                <w:szCs w:val="20"/>
              </w:rPr>
            </w:pPr>
            <w:hyperlink r:id="rId18" w:history="1">
              <w:r w:rsidR="00F20073" w:rsidRPr="00444C3E">
                <w:rPr>
                  <w:rStyle w:val="Hypertextovodkaz"/>
                  <w:rFonts w:ascii="Cambria" w:hAnsi="Cambria"/>
                  <w:sz w:val="20"/>
                  <w:szCs w:val="20"/>
                </w:rPr>
                <w:t>http://www.mzp.cz/C1257458002F0DC7/cz/news_130108_Statni_politika_zivotniho_prostredi</w:t>
              </w:r>
            </w:hyperlink>
          </w:p>
          <w:p w14:paraId="1EC094AC" w14:textId="77777777" w:rsidR="00F20073" w:rsidRPr="00444C3E" w:rsidRDefault="00F20073" w:rsidP="007A1D96">
            <w:pPr>
              <w:pStyle w:val="DAVA"/>
              <w:spacing w:before="0"/>
              <w:jc w:val="left"/>
              <w:rPr>
                <w:rFonts w:ascii="Cambria" w:hAnsi="Cambria"/>
                <w:sz w:val="20"/>
                <w:szCs w:val="20"/>
              </w:rPr>
            </w:pPr>
          </w:p>
          <w:p w14:paraId="5D145F3A" w14:textId="77777777" w:rsidR="00F20073" w:rsidRPr="00444C3E" w:rsidRDefault="006C369D" w:rsidP="007A1D96">
            <w:pPr>
              <w:pStyle w:val="DAVA"/>
              <w:keepNext/>
              <w:spacing w:before="0"/>
              <w:jc w:val="left"/>
              <w:rPr>
                <w:rFonts w:ascii="Cambria" w:hAnsi="Cambria"/>
                <w:b/>
                <w:sz w:val="20"/>
                <w:szCs w:val="20"/>
                <w:u w:val="single"/>
              </w:rPr>
            </w:pPr>
            <w:r w:rsidRPr="00444C3E">
              <w:rPr>
                <w:rFonts w:ascii="Cambria" w:hAnsi="Cambria"/>
                <w:b/>
                <w:sz w:val="20"/>
                <w:szCs w:val="20"/>
              </w:rPr>
              <w:t xml:space="preserve">- </w:t>
            </w:r>
            <w:r w:rsidR="00F20073" w:rsidRPr="00444C3E">
              <w:rPr>
                <w:rFonts w:ascii="Cambria" w:hAnsi="Cambria"/>
                <w:b/>
                <w:sz w:val="20"/>
                <w:szCs w:val="20"/>
                <w:u w:val="single"/>
              </w:rPr>
              <w:t>Politika územního rozvoje ČR:</w:t>
            </w:r>
          </w:p>
          <w:p w14:paraId="71961E9E" w14:textId="77777777" w:rsidR="00496E65" w:rsidRPr="00444C3E" w:rsidRDefault="00D17FC4" w:rsidP="00C84396">
            <w:pPr>
              <w:pStyle w:val="DAVA"/>
              <w:spacing w:before="0"/>
              <w:ind w:firstLine="113"/>
              <w:jc w:val="left"/>
              <w:rPr>
                <w:rFonts w:ascii="Cambria" w:hAnsi="Cambria"/>
                <w:sz w:val="20"/>
                <w:szCs w:val="20"/>
              </w:rPr>
            </w:pPr>
            <w:hyperlink r:id="rId19" w:history="1">
              <w:r w:rsidR="00496E65" w:rsidRPr="00444C3E">
                <w:rPr>
                  <w:rStyle w:val="Hypertextovodkaz"/>
                  <w:rFonts w:ascii="Cambria" w:hAnsi="Cambria"/>
                  <w:sz w:val="20"/>
                  <w:szCs w:val="20"/>
                </w:rPr>
                <w:t>http://www.mmr.cz/cs/Stavebni-rad-a-bytova-politika/Uzemni-planovani-a-stavebni-rad/Koncepce-Strategie/Politika-uzemniho-rozvoje-Ceske-republiky</w:t>
              </w:r>
            </w:hyperlink>
          </w:p>
          <w:p w14:paraId="2721787B" w14:textId="77777777" w:rsidR="00496E65" w:rsidRPr="00444C3E" w:rsidRDefault="00D17FC4" w:rsidP="00C84396">
            <w:pPr>
              <w:pStyle w:val="DAVA"/>
              <w:spacing w:before="0"/>
              <w:ind w:firstLine="113"/>
              <w:jc w:val="left"/>
              <w:rPr>
                <w:rFonts w:ascii="Cambria" w:hAnsi="Cambria"/>
                <w:sz w:val="20"/>
                <w:szCs w:val="20"/>
              </w:rPr>
            </w:pPr>
            <w:hyperlink r:id="rId20" w:history="1">
              <w:r w:rsidR="00554F2B" w:rsidRPr="00444C3E">
                <w:rPr>
                  <w:rStyle w:val="Hypertextovodkaz"/>
                  <w:rFonts w:ascii="Cambria" w:hAnsi="Cambria"/>
                  <w:sz w:val="20"/>
                  <w:szCs w:val="20"/>
                </w:rPr>
                <w:t>http://databaze-strategie.cz/cz/mmr/strategie/politika-uzemniho-rozvoje-cr-2008</w:t>
              </w:r>
            </w:hyperlink>
          </w:p>
          <w:p w14:paraId="4A17BB82" w14:textId="77777777" w:rsidR="00BA6E6C" w:rsidRPr="00444C3E" w:rsidRDefault="00BA6E6C" w:rsidP="007A1D96">
            <w:pPr>
              <w:pStyle w:val="DAVA"/>
              <w:spacing w:before="0"/>
              <w:jc w:val="left"/>
              <w:rPr>
                <w:rFonts w:ascii="Cambria" w:hAnsi="Cambria"/>
                <w:sz w:val="20"/>
                <w:szCs w:val="20"/>
              </w:rPr>
            </w:pPr>
          </w:p>
        </w:tc>
        <w:tc>
          <w:tcPr>
            <w:tcW w:w="4678" w:type="dxa"/>
            <w:shd w:val="clear" w:color="auto" w:fill="EAF1DD" w:themeFill="accent3" w:themeFillTint="33"/>
            <w:tcMar>
              <w:left w:w="28" w:type="dxa"/>
              <w:right w:w="28" w:type="dxa"/>
            </w:tcMar>
          </w:tcPr>
          <w:p w14:paraId="0B81463E" w14:textId="77777777" w:rsidR="00810977" w:rsidRPr="00444C3E" w:rsidRDefault="00810977" w:rsidP="007A1D96">
            <w:pPr>
              <w:pStyle w:val="DAVA"/>
              <w:spacing w:after="60"/>
              <w:jc w:val="left"/>
              <w:rPr>
                <w:rFonts w:ascii="Cambria" w:hAnsi="Cambria"/>
                <w:b/>
                <w:sz w:val="20"/>
                <w:szCs w:val="20"/>
              </w:rPr>
            </w:pPr>
            <w:r w:rsidRPr="00444C3E">
              <w:rPr>
                <w:rFonts w:ascii="Cambria" w:hAnsi="Cambria"/>
                <w:b/>
                <w:sz w:val="20"/>
                <w:szCs w:val="20"/>
              </w:rPr>
              <w:lastRenderedPageBreak/>
              <w:t xml:space="preserve">Plnění </w:t>
            </w:r>
            <w:r w:rsidR="00E0477B" w:rsidRPr="00444C3E">
              <w:rPr>
                <w:rFonts w:ascii="Cambria" w:hAnsi="Cambria"/>
                <w:b/>
                <w:sz w:val="20"/>
                <w:szCs w:val="20"/>
              </w:rPr>
              <w:t>některých kritérií</w:t>
            </w:r>
            <w:r w:rsidRPr="00444C3E">
              <w:rPr>
                <w:rFonts w:ascii="Cambria" w:hAnsi="Cambria"/>
                <w:b/>
                <w:sz w:val="20"/>
                <w:szCs w:val="20"/>
              </w:rPr>
              <w:t xml:space="preserve"> v této oblasti vyplývá z platné národní legislativy: povinnost zpracovávat plány pro zvládání povodňových rizik</w:t>
            </w:r>
            <w:r w:rsidRPr="00444C3E">
              <w:rPr>
                <w:rStyle w:val="Znakapoznpodarou"/>
                <w:rFonts w:ascii="Cambria" w:hAnsi="Cambria"/>
                <w:b/>
                <w:sz w:val="20"/>
                <w:szCs w:val="20"/>
              </w:rPr>
              <w:footnoteReference w:id="4"/>
            </w:r>
            <w:r w:rsidRPr="00444C3E">
              <w:rPr>
                <w:rFonts w:ascii="Cambria" w:hAnsi="Cambria"/>
                <w:b/>
                <w:sz w:val="20"/>
                <w:szCs w:val="20"/>
              </w:rPr>
              <w:t>, povinnost plánování v oblasti vod</w:t>
            </w:r>
            <w:r w:rsidRPr="00444C3E">
              <w:rPr>
                <w:rStyle w:val="Znakapoznpodarou"/>
                <w:rFonts w:ascii="Cambria" w:hAnsi="Cambria"/>
                <w:sz w:val="20"/>
                <w:szCs w:val="20"/>
              </w:rPr>
              <w:footnoteReference w:id="5"/>
            </w:r>
            <w:r w:rsidRPr="00444C3E">
              <w:rPr>
                <w:rFonts w:ascii="Cambria" w:hAnsi="Cambria"/>
                <w:b/>
                <w:sz w:val="20"/>
                <w:szCs w:val="20"/>
              </w:rPr>
              <w:t xml:space="preserve">, povinnost </w:t>
            </w:r>
            <w:r w:rsidR="007A1D96" w:rsidRPr="00444C3E">
              <w:rPr>
                <w:rFonts w:ascii="Cambria" w:hAnsi="Cambria"/>
                <w:b/>
                <w:sz w:val="20"/>
                <w:szCs w:val="20"/>
              </w:rPr>
              <w:t xml:space="preserve">pro ministerstva a jiné správní orgány </w:t>
            </w:r>
            <w:r w:rsidRPr="00444C3E">
              <w:rPr>
                <w:rFonts w:ascii="Cambria" w:hAnsi="Cambria"/>
                <w:b/>
                <w:sz w:val="20"/>
                <w:szCs w:val="20"/>
              </w:rPr>
              <w:t>hodnotit možné zdroje rizik, provádět analýzy ohrožení a v rámci prevence odstraňovat nedostatky</w:t>
            </w:r>
            <w:r w:rsidRPr="00444C3E">
              <w:rPr>
                <w:rStyle w:val="Znakapoznpodarou"/>
                <w:rFonts w:ascii="Cambria" w:hAnsi="Cambria"/>
                <w:sz w:val="20"/>
                <w:szCs w:val="20"/>
              </w:rPr>
              <w:footnoteReference w:id="6"/>
            </w:r>
            <w:r w:rsidRPr="00444C3E">
              <w:rPr>
                <w:rFonts w:ascii="Cambria" w:hAnsi="Cambria"/>
                <w:b/>
                <w:sz w:val="20"/>
                <w:szCs w:val="20"/>
              </w:rPr>
              <w:t>.</w:t>
            </w:r>
          </w:p>
          <w:p w14:paraId="79706E18" w14:textId="77777777" w:rsidR="000E7BE4" w:rsidRPr="00444C3E" w:rsidRDefault="000E7BE4" w:rsidP="007A1D96">
            <w:pPr>
              <w:pStyle w:val="DAVA"/>
              <w:spacing w:after="60"/>
              <w:jc w:val="left"/>
              <w:rPr>
                <w:rFonts w:ascii="Cambria" w:hAnsi="Cambria"/>
                <w:b/>
                <w:sz w:val="20"/>
                <w:szCs w:val="20"/>
              </w:rPr>
            </w:pPr>
          </w:p>
          <w:p w14:paraId="693C8A0C" w14:textId="77777777" w:rsidR="00B119BA" w:rsidRPr="00444C3E" w:rsidRDefault="00810977" w:rsidP="007A1D96">
            <w:pPr>
              <w:pStyle w:val="DAVA"/>
              <w:spacing w:before="0" w:after="60"/>
              <w:jc w:val="left"/>
              <w:rPr>
                <w:rFonts w:ascii="Cambria" w:hAnsi="Cambria"/>
                <w:sz w:val="20"/>
                <w:szCs w:val="20"/>
              </w:rPr>
            </w:pPr>
            <w:r w:rsidRPr="00444C3E">
              <w:rPr>
                <w:rFonts w:ascii="Cambria" w:hAnsi="Cambria"/>
                <w:b/>
                <w:sz w:val="20"/>
                <w:szCs w:val="20"/>
              </w:rPr>
              <w:t>V současné době e</w:t>
            </w:r>
            <w:r w:rsidR="00B119BA" w:rsidRPr="00444C3E">
              <w:rPr>
                <w:rFonts w:ascii="Cambria" w:hAnsi="Cambria"/>
                <w:b/>
                <w:sz w:val="20"/>
                <w:szCs w:val="20"/>
              </w:rPr>
              <w:t>xistuje, připravuje se nebo probíhá aktualizace několika vnitrostátních koncepčních či plánovacích dokumentů, které se stávajícími riziky zabývají:</w:t>
            </w:r>
          </w:p>
          <w:p w14:paraId="5288EDF6" w14:textId="77777777" w:rsidR="00B119BA" w:rsidRPr="00444C3E" w:rsidRDefault="00B119BA" w:rsidP="007A1D96">
            <w:pPr>
              <w:pStyle w:val="DAVA"/>
              <w:spacing w:before="0" w:after="60"/>
              <w:jc w:val="left"/>
              <w:rPr>
                <w:rFonts w:ascii="Cambria" w:hAnsi="Cambria"/>
                <w:sz w:val="20"/>
                <w:szCs w:val="20"/>
              </w:rPr>
            </w:pPr>
            <w:r w:rsidRPr="00444C3E">
              <w:rPr>
                <w:rFonts w:ascii="Cambria" w:hAnsi="Cambria"/>
                <w:sz w:val="20"/>
                <w:szCs w:val="20"/>
              </w:rPr>
              <w:t xml:space="preserve">- </w:t>
            </w:r>
            <w:r w:rsidRPr="00444C3E">
              <w:rPr>
                <w:rFonts w:ascii="Cambria" w:hAnsi="Cambria"/>
                <w:b/>
                <w:sz w:val="20"/>
                <w:szCs w:val="20"/>
                <w:u w:val="single"/>
              </w:rPr>
              <w:t>Plány pro zvládání povodňových rizik</w:t>
            </w:r>
            <w:r w:rsidRPr="00444C3E">
              <w:rPr>
                <w:rFonts w:ascii="Cambria" w:hAnsi="Cambria"/>
                <w:sz w:val="20"/>
                <w:szCs w:val="20"/>
              </w:rPr>
              <w:t xml:space="preserve"> (zpracovávají se, </w:t>
            </w:r>
            <w:r w:rsidR="00CC0614" w:rsidRPr="00444C3E">
              <w:rPr>
                <w:rFonts w:ascii="Cambria" w:hAnsi="Cambria"/>
                <w:sz w:val="20"/>
                <w:szCs w:val="20"/>
                <w:u w:val="single"/>
              </w:rPr>
              <w:t xml:space="preserve">jejich podkladem jsou mapy povodňového nebezpečí a rizik, </w:t>
            </w:r>
            <w:r w:rsidR="00E67529" w:rsidRPr="00444C3E">
              <w:rPr>
                <w:rFonts w:ascii="Cambria" w:hAnsi="Cambria"/>
                <w:sz w:val="20"/>
                <w:szCs w:val="20"/>
              </w:rPr>
              <w:t>po procesu SEA budou schváleny</w:t>
            </w:r>
            <w:r w:rsidRPr="00444C3E">
              <w:rPr>
                <w:rFonts w:ascii="Cambria" w:hAnsi="Cambria"/>
                <w:sz w:val="20"/>
                <w:szCs w:val="20"/>
              </w:rPr>
              <w:t xml:space="preserve"> </w:t>
            </w:r>
            <w:r w:rsidR="0048503F" w:rsidRPr="00444C3E">
              <w:rPr>
                <w:rFonts w:ascii="Cambria" w:hAnsi="Cambria"/>
                <w:sz w:val="20"/>
                <w:szCs w:val="20"/>
              </w:rPr>
              <w:t xml:space="preserve">vládou </w:t>
            </w:r>
            <w:r w:rsidRPr="00444C3E">
              <w:rPr>
                <w:rFonts w:ascii="Cambria" w:hAnsi="Cambria"/>
                <w:sz w:val="20"/>
                <w:szCs w:val="20"/>
              </w:rPr>
              <w:t xml:space="preserve">do </w:t>
            </w:r>
            <w:r w:rsidR="000369DE" w:rsidRPr="00444C3E">
              <w:rPr>
                <w:rFonts w:ascii="Cambria" w:hAnsi="Cambria"/>
                <w:sz w:val="20"/>
                <w:szCs w:val="20"/>
              </w:rPr>
              <w:t>XII-</w:t>
            </w:r>
            <w:r w:rsidRPr="00444C3E">
              <w:rPr>
                <w:rFonts w:ascii="Cambria" w:hAnsi="Cambria"/>
                <w:sz w:val="20"/>
                <w:szCs w:val="20"/>
              </w:rPr>
              <w:t>2015)</w:t>
            </w:r>
            <w:r w:rsidR="00C1442F" w:rsidRPr="00444C3E">
              <w:rPr>
                <w:rFonts w:ascii="Cambria" w:hAnsi="Cambria"/>
                <w:sz w:val="20"/>
                <w:szCs w:val="20"/>
              </w:rPr>
              <w:t>;</w:t>
            </w:r>
          </w:p>
          <w:p w14:paraId="6A1DDD04" w14:textId="77777777" w:rsidR="00B119BA" w:rsidRPr="00444C3E" w:rsidRDefault="00B119BA" w:rsidP="007A1D96">
            <w:pPr>
              <w:pStyle w:val="DAVA"/>
              <w:spacing w:before="0" w:after="60"/>
              <w:jc w:val="left"/>
              <w:rPr>
                <w:rFonts w:ascii="Cambria" w:hAnsi="Cambria"/>
                <w:sz w:val="20"/>
                <w:szCs w:val="20"/>
              </w:rPr>
            </w:pPr>
            <w:r w:rsidRPr="00444C3E">
              <w:rPr>
                <w:rFonts w:ascii="Cambria" w:hAnsi="Cambria"/>
                <w:sz w:val="20"/>
                <w:szCs w:val="20"/>
              </w:rPr>
              <w:t xml:space="preserve">- </w:t>
            </w:r>
            <w:r w:rsidRPr="00444C3E">
              <w:rPr>
                <w:rFonts w:ascii="Cambria" w:hAnsi="Cambria"/>
                <w:b/>
                <w:sz w:val="20"/>
                <w:szCs w:val="20"/>
                <w:u w:val="single"/>
              </w:rPr>
              <w:t>Plány povodí</w:t>
            </w:r>
            <w:r w:rsidRPr="00444C3E">
              <w:rPr>
                <w:rFonts w:ascii="Cambria" w:hAnsi="Cambria"/>
                <w:sz w:val="20"/>
                <w:szCs w:val="20"/>
              </w:rPr>
              <w:t xml:space="preserve"> (aktuální </w:t>
            </w:r>
            <w:r w:rsidR="00D27AF2" w:rsidRPr="00444C3E">
              <w:rPr>
                <w:rFonts w:ascii="Cambria" w:hAnsi="Cambria"/>
                <w:sz w:val="20"/>
                <w:szCs w:val="20"/>
              </w:rPr>
              <w:t xml:space="preserve">plány povodí </w:t>
            </w:r>
            <w:r w:rsidRPr="00444C3E">
              <w:rPr>
                <w:rFonts w:ascii="Cambria" w:hAnsi="Cambria"/>
                <w:sz w:val="20"/>
                <w:szCs w:val="20"/>
              </w:rPr>
              <w:t xml:space="preserve">byly schváleny </w:t>
            </w:r>
            <w:r w:rsidRPr="00444C3E">
              <w:rPr>
                <w:rFonts w:ascii="Cambria" w:hAnsi="Cambria"/>
                <w:sz w:val="20"/>
                <w:szCs w:val="20"/>
              </w:rPr>
              <w:lastRenderedPageBreak/>
              <w:t>v r. 2009</w:t>
            </w:r>
            <w:r w:rsidR="005F7F5A" w:rsidRPr="00444C3E">
              <w:rPr>
                <w:rFonts w:ascii="Cambria" w:hAnsi="Cambria"/>
                <w:sz w:val="20"/>
                <w:szCs w:val="20"/>
              </w:rPr>
              <w:t xml:space="preserve"> - splnění plánovacího období dle Rámcové směrnice o vodách 2000/60/ES bylo reportováno Evropské komisi;</w:t>
            </w:r>
            <w:r w:rsidRPr="00444C3E">
              <w:rPr>
                <w:rFonts w:ascii="Cambria" w:hAnsi="Cambria"/>
                <w:sz w:val="20"/>
                <w:szCs w:val="20"/>
              </w:rPr>
              <w:t xml:space="preserve"> </w:t>
            </w:r>
            <w:r w:rsidR="005F7F5A" w:rsidRPr="00444C3E">
              <w:rPr>
                <w:rFonts w:ascii="Cambria" w:hAnsi="Cambria"/>
                <w:sz w:val="20"/>
                <w:szCs w:val="20"/>
              </w:rPr>
              <w:t xml:space="preserve">nyní se </w:t>
            </w:r>
            <w:r w:rsidRPr="00444C3E">
              <w:rPr>
                <w:rFonts w:ascii="Cambria" w:hAnsi="Cambria"/>
                <w:sz w:val="20"/>
                <w:szCs w:val="20"/>
              </w:rPr>
              <w:t xml:space="preserve">zpracovávají nové plány </w:t>
            </w:r>
            <w:r w:rsidR="005F7F5A" w:rsidRPr="00444C3E">
              <w:rPr>
                <w:rFonts w:ascii="Cambria" w:hAnsi="Cambria"/>
                <w:sz w:val="20"/>
                <w:szCs w:val="20"/>
              </w:rPr>
              <w:t xml:space="preserve">povodí </w:t>
            </w:r>
            <w:r w:rsidRPr="00444C3E">
              <w:rPr>
                <w:rFonts w:ascii="Cambria" w:hAnsi="Cambria"/>
                <w:sz w:val="20"/>
                <w:szCs w:val="20"/>
              </w:rPr>
              <w:t>pro období 2016-2</w:t>
            </w:r>
            <w:r w:rsidR="00873EF7" w:rsidRPr="00444C3E">
              <w:rPr>
                <w:rFonts w:ascii="Cambria" w:hAnsi="Cambria"/>
                <w:sz w:val="20"/>
                <w:szCs w:val="20"/>
              </w:rPr>
              <w:t>1</w:t>
            </w:r>
            <w:r w:rsidRPr="00444C3E">
              <w:rPr>
                <w:rFonts w:ascii="Cambria" w:hAnsi="Cambria"/>
                <w:sz w:val="20"/>
                <w:szCs w:val="20"/>
              </w:rPr>
              <w:t xml:space="preserve">, </w:t>
            </w:r>
            <w:r w:rsidR="006B7618" w:rsidRPr="00444C3E">
              <w:rPr>
                <w:rFonts w:ascii="Cambria" w:hAnsi="Cambria"/>
                <w:sz w:val="20"/>
                <w:szCs w:val="20"/>
              </w:rPr>
              <w:t xml:space="preserve">po procesu SEA </w:t>
            </w:r>
            <w:r w:rsidR="00E67529" w:rsidRPr="00444C3E">
              <w:rPr>
                <w:rFonts w:ascii="Cambria" w:hAnsi="Cambria"/>
                <w:sz w:val="20"/>
                <w:szCs w:val="20"/>
              </w:rPr>
              <w:t>budou schváleny</w:t>
            </w:r>
            <w:r w:rsidRPr="00444C3E">
              <w:rPr>
                <w:rFonts w:ascii="Cambria" w:hAnsi="Cambria"/>
                <w:sz w:val="20"/>
                <w:szCs w:val="20"/>
              </w:rPr>
              <w:t xml:space="preserve"> vládou do </w:t>
            </w:r>
            <w:r w:rsidR="000369DE" w:rsidRPr="00444C3E">
              <w:rPr>
                <w:rFonts w:ascii="Cambria" w:hAnsi="Cambria"/>
                <w:sz w:val="20"/>
                <w:szCs w:val="20"/>
              </w:rPr>
              <w:t>XII-</w:t>
            </w:r>
            <w:r w:rsidRPr="00444C3E">
              <w:rPr>
                <w:rFonts w:ascii="Cambria" w:hAnsi="Cambria"/>
                <w:sz w:val="20"/>
                <w:szCs w:val="20"/>
              </w:rPr>
              <w:t>2015)</w:t>
            </w:r>
            <w:r w:rsidR="00C629DE" w:rsidRPr="00444C3E">
              <w:rPr>
                <w:rFonts w:ascii="Cambria" w:hAnsi="Cambria"/>
                <w:sz w:val="20"/>
                <w:szCs w:val="20"/>
              </w:rPr>
              <w:t xml:space="preserve"> – bližší informace viz PP 6.1</w:t>
            </w:r>
            <w:r w:rsidR="00C1442F" w:rsidRPr="00444C3E">
              <w:rPr>
                <w:rFonts w:ascii="Cambria" w:hAnsi="Cambria"/>
                <w:sz w:val="20"/>
                <w:szCs w:val="20"/>
              </w:rPr>
              <w:t>;</w:t>
            </w:r>
          </w:p>
          <w:p w14:paraId="16B4DCD0" w14:textId="77777777" w:rsidR="00B119BA" w:rsidRPr="00444C3E" w:rsidRDefault="00B119BA" w:rsidP="007A1D96">
            <w:pPr>
              <w:pStyle w:val="DAVA"/>
              <w:spacing w:before="0" w:after="60"/>
              <w:jc w:val="left"/>
              <w:rPr>
                <w:rFonts w:ascii="Cambria" w:hAnsi="Cambria"/>
                <w:sz w:val="20"/>
                <w:szCs w:val="20"/>
              </w:rPr>
            </w:pPr>
            <w:r w:rsidRPr="00444C3E">
              <w:rPr>
                <w:rFonts w:ascii="Cambria" w:hAnsi="Cambria"/>
                <w:sz w:val="20"/>
                <w:szCs w:val="20"/>
              </w:rPr>
              <w:t xml:space="preserve">- </w:t>
            </w:r>
            <w:r w:rsidRPr="00444C3E">
              <w:rPr>
                <w:rFonts w:ascii="Cambria" w:hAnsi="Cambria"/>
                <w:b/>
                <w:sz w:val="20"/>
                <w:szCs w:val="20"/>
                <w:u w:val="single"/>
              </w:rPr>
              <w:t>Koncepce ochrany obyvatelstva do roku 2020 s výhledem do roku 2030</w:t>
            </w:r>
            <w:r w:rsidRPr="00444C3E">
              <w:rPr>
                <w:rFonts w:ascii="Cambria" w:hAnsi="Cambria"/>
                <w:sz w:val="20"/>
                <w:szCs w:val="20"/>
              </w:rPr>
              <w:t xml:space="preserve"> (schvále</w:t>
            </w:r>
            <w:r w:rsidR="006C369D" w:rsidRPr="00444C3E">
              <w:rPr>
                <w:rFonts w:ascii="Cambria" w:hAnsi="Cambria"/>
                <w:sz w:val="20"/>
                <w:szCs w:val="20"/>
              </w:rPr>
              <w:t>n</w:t>
            </w:r>
            <w:r w:rsidR="00C629DE" w:rsidRPr="00444C3E">
              <w:rPr>
                <w:rFonts w:ascii="Cambria" w:hAnsi="Cambria"/>
                <w:sz w:val="20"/>
                <w:szCs w:val="20"/>
              </w:rPr>
              <w:t>a</w:t>
            </w:r>
            <w:r w:rsidRPr="00444C3E">
              <w:rPr>
                <w:rFonts w:ascii="Cambria" w:hAnsi="Cambria"/>
                <w:sz w:val="20"/>
                <w:szCs w:val="20"/>
              </w:rPr>
              <w:t xml:space="preserve"> </w:t>
            </w:r>
            <w:r w:rsidR="0048503F" w:rsidRPr="00444C3E">
              <w:rPr>
                <w:rFonts w:ascii="Cambria" w:hAnsi="Cambria"/>
                <w:sz w:val="20"/>
                <w:szCs w:val="20"/>
              </w:rPr>
              <w:t>v</w:t>
            </w:r>
            <w:r w:rsidRPr="00444C3E">
              <w:rPr>
                <w:rFonts w:ascii="Cambria" w:hAnsi="Cambria"/>
                <w:sz w:val="20"/>
                <w:szCs w:val="20"/>
              </w:rPr>
              <w:t xml:space="preserve">ládou </w:t>
            </w:r>
            <w:r w:rsidR="00C629DE" w:rsidRPr="00444C3E">
              <w:rPr>
                <w:rFonts w:ascii="Cambria" w:hAnsi="Cambria"/>
                <w:sz w:val="20"/>
                <w:szCs w:val="20"/>
              </w:rPr>
              <w:t>v X-2013</w:t>
            </w:r>
            <w:r w:rsidRPr="00444C3E">
              <w:rPr>
                <w:rFonts w:ascii="Cambria" w:hAnsi="Cambria"/>
                <w:sz w:val="20"/>
                <w:szCs w:val="20"/>
              </w:rPr>
              <w:t>)</w:t>
            </w:r>
            <w:r w:rsidR="00C1442F" w:rsidRPr="00444C3E">
              <w:rPr>
                <w:rFonts w:ascii="Cambria" w:hAnsi="Cambria"/>
                <w:sz w:val="20"/>
                <w:szCs w:val="20"/>
              </w:rPr>
              <w:t>;</w:t>
            </w:r>
          </w:p>
          <w:p w14:paraId="3387E2CB" w14:textId="77777777" w:rsidR="00B119BA" w:rsidRPr="00444C3E" w:rsidRDefault="00B119BA" w:rsidP="007A1D96">
            <w:pPr>
              <w:pStyle w:val="DAVA"/>
              <w:spacing w:before="0" w:after="60"/>
              <w:jc w:val="left"/>
              <w:rPr>
                <w:rFonts w:ascii="Cambria" w:hAnsi="Cambria"/>
                <w:sz w:val="20"/>
                <w:szCs w:val="20"/>
              </w:rPr>
            </w:pPr>
            <w:r w:rsidRPr="00444C3E">
              <w:rPr>
                <w:rFonts w:ascii="Cambria" w:hAnsi="Cambria"/>
                <w:sz w:val="20"/>
                <w:szCs w:val="20"/>
              </w:rPr>
              <w:t xml:space="preserve">- </w:t>
            </w:r>
            <w:r w:rsidRPr="00444C3E">
              <w:rPr>
                <w:rFonts w:ascii="Cambria" w:hAnsi="Cambria"/>
                <w:b/>
                <w:sz w:val="20"/>
                <w:szCs w:val="20"/>
                <w:u w:val="single"/>
              </w:rPr>
              <w:t>Koncepce environmentální bezpečnosti 2012–2015 s výhledem do roku 2020</w:t>
            </w:r>
            <w:r w:rsidRPr="00444C3E">
              <w:rPr>
                <w:rFonts w:ascii="Cambria" w:hAnsi="Cambria"/>
                <w:sz w:val="20"/>
                <w:szCs w:val="20"/>
              </w:rPr>
              <w:t xml:space="preserve"> (schválena Bezpečnostní radou státu </w:t>
            </w:r>
            <w:r w:rsidR="000369DE" w:rsidRPr="00444C3E">
              <w:rPr>
                <w:rFonts w:ascii="Cambria" w:hAnsi="Cambria"/>
                <w:sz w:val="20"/>
                <w:szCs w:val="20"/>
              </w:rPr>
              <w:t>v VI-</w:t>
            </w:r>
            <w:r w:rsidRPr="00444C3E">
              <w:rPr>
                <w:rFonts w:ascii="Cambria" w:hAnsi="Cambria"/>
                <w:sz w:val="20"/>
                <w:szCs w:val="20"/>
              </w:rPr>
              <w:t>2012)</w:t>
            </w:r>
            <w:r w:rsidR="00853097" w:rsidRPr="00444C3E">
              <w:rPr>
                <w:rFonts w:ascii="Cambria" w:hAnsi="Cambria"/>
                <w:sz w:val="20"/>
                <w:szCs w:val="20"/>
              </w:rPr>
              <w:t xml:space="preserve">, </w:t>
            </w:r>
            <w:r w:rsidR="00853097" w:rsidRPr="00444C3E">
              <w:rPr>
                <w:rFonts w:ascii="Cambria" w:hAnsi="Cambria"/>
                <w:b/>
                <w:sz w:val="20"/>
                <w:szCs w:val="20"/>
                <w:u w:val="single"/>
              </w:rPr>
              <w:t>Koncepce environmentální bezpečnosti 2015-2020 s výhledem do roku 2030</w:t>
            </w:r>
            <w:r w:rsidR="00853097" w:rsidRPr="00444C3E">
              <w:rPr>
                <w:rFonts w:ascii="Cambria" w:hAnsi="Cambria"/>
                <w:sz w:val="20"/>
                <w:szCs w:val="20"/>
              </w:rPr>
              <w:t xml:space="preserve"> (v procesu přípravy, předpoklad schválení do </w:t>
            </w:r>
            <w:r w:rsidR="00E67529" w:rsidRPr="00444C3E">
              <w:rPr>
                <w:rFonts w:ascii="Cambria" w:hAnsi="Cambria"/>
                <w:sz w:val="20"/>
                <w:szCs w:val="20"/>
              </w:rPr>
              <w:t>XII</w:t>
            </w:r>
            <w:r w:rsidR="000369DE" w:rsidRPr="00444C3E">
              <w:rPr>
                <w:rFonts w:ascii="Cambria" w:hAnsi="Cambria"/>
                <w:sz w:val="20"/>
                <w:szCs w:val="20"/>
              </w:rPr>
              <w:t>-</w:t>
            </w:r>
            <w:r w:rsidR="00853097" w:rsidRPr="00444C3E">
              <w:rPr>
                <w:rFonts w:ascii="Cambria" w:hAnsi="Cambria"/>
                <w:sz w:val="20"/>
                <w:szCs w:val="20"/>
              </w:rPr>
              <w:t>2015)</w:t>
            </w:r>
            <w:r w:rsidR="00C1442F" w:rsidRPr="00444C3E">
              <w:rPr>
                <w:rFonts w:ascii="Cambria" w:hAnsi="Cambria"/>
                <w:sz w:val="20"/>
                <w:szCs w:val="20"/>
              </w:rPr>
              <w:t>;</w:t>
            </w:r>
          </w:p>
          <w:p w14:paraId="7F14474E" w14:textId="77777777" w:rsidR="00D2131B" w:rsidRPr="00444C3E" w:rsidRDefault="00D2131B" w:rsidP="007A1D96">
            <w:pPr>
              <w:pStyle w:val="DAVA"/>
              <w:spacing w:before="0" w:after="60"/>
              <w:jc w:val="left"/>
              <w:rPr>
                <w:rFonts w:ascii="Cambria" w:hAnsi="Cambria"/>
                <w:sz w:val="20"/>
                <w:szCs w:val="20"/>
              </w:rPr>
            </w:pPr>
            <w:r w:rsidRPr="00444C3E">
              <w:rPr>
                <w:rFonts w:ascii="Cambria" w:hAnsi="Cambria"/>
                <w:sz w:val="20"/>
                <w:szCs w:val="20"/>
              </w:rPr>
              <w:t xml:space="preserve">- </w:t>
            </w:r>
            <w:r w:rsidRPr="00444C3E">
              <w:rPr>
                <w:rFonts w:ascii="Cambria" w:hAnsi="Cambria"/>
                <w:b/>
                <w:sz w:val="20"/>
                <w:szCs w:val="20"/>
                <w:u w:val="single"/>
              </w:rPr>
              <w:t xml:space="preserve">Státní politika </w:t>
            </w:r>
            <w:r w:rsidR="00C1442F" w:rsidRPr="00444C3E">
              <w:rPr>
                <w:rFonts w:ascii="Cambria" w:hAnsi="Cambria"/>
                <w:b/>
                <w:sz w:val="20"/>
                <w:szCs w:val="20"/>
                <w:u w:val="single"/>
              </w:rPr>
              <w:t>životního prostředí ČR 2012 – 2020</w:t>
            </w:r>
            <w:r w:rsidRPr="00444C3E">
              <w:rPr>
                <w:rFonts w:ascii="Cambria" w:hAnsi="Cambria"/>
                <w:sz w:val="20"/>
                <w:szCs w:val="20"/>
              </w:rPr>
              <w:t xml:space="preserve"> (schválena vládou v </w:t>
            </w:r>
            <w:r w:rsidR="000369DE" w:rsidRPr="00444C3E">
              <w:rPr>
                <w:rFonts w:ascii="Cambria" w:hAnsi="Cambria"/>
                <w:sz w:val="20"/>
                <w:szCs w:val="20"/>
              </w:rPr>
              <w:t>I-</w:t>
            </w:r>
            <w:r w:rsidRPr="00444C3E">
              <w:rPr>
                <w:rFonts w:ascii="Cambria" w:hAnsi="Cambria"/>
                <w:sz w:val="20"/>
                <w:szCs w:val="20"/>
              </w:rPr>
              <w:t>2013) – předcházení rizik a adaptace na změnu klimatu patří mezi prioritní oblasti tohoto strategického dokumentu</w:t>
            </w:r>
            <w:r w:rsidR="00C1442F" w:rsidRPr="00444C3E">
              <w:rPr>
                <w:rFonts w:ascii="Cambria" w:hAnsi="Cambria"/>
                <w:sz w:val="20"/>
                <w:szCs w:val="20"/>
              </w:rPr>
              <w:t>.</w:t>
            </w:r>
          </w:p>
          <w:p w14:paraId="48007911" w14:textId="1DD42EEB" w:rsidR="007A1D96" w:rsidRPr="00444C3E" w:rsidRDefault="00A73596" w:rsidP="007A1D96">
            <w:pPr>
              <w:pStyle w:val="DAVA"/>
              <w:spacing w:before="0" w:after="60"/>
              <w:jc w:val="left"/>
              <w:rPr>
                <w:rFonts w:ascii="Cambria" w:hAnsi="Cambria"/>
                <w:sz w:val="20"/>
                <w:szCs w:val="20"/>
              </w:rPr>
            </w:pPr>
            <w:r w:rsidRPr="00444C3E">
              <w:rPr>
                <w:rFonts w:ascii="Cambria" w:hAnsi="Cambria"/>
                <w:b/>
                <w:sz w:val="20"/>
                <w:szCs w:val="20"/>
              </w:rPr>
              <w:t xml:space="preserve">- </w:t>
            </w:r>
            <w:r w:rsidRPr="00444C3E">
              <w:rPr>
                <w:rFonts w:ascii="Cambria" w:hAnsi="Cambria"/>
                <w:b/>
                <w:sz w:val="20"/>
                <w:szCs w:val="20"/>
                <w:u w:val="single"/>
              </w:rPr>
              <w:t>Politika územního rozvoje České republiky 2008</w:t>
            </w:r>
            <w:r w:rsidRPr="00444C3E">
              <w:rPr>
                <w:rFonts w:ascii="Cambria" w:hAnsi="Cambria"/>
                <w:sz w:val="20"/>
                <w:szCs w:val="20"/>
              </w:rPr>
              <w:t xml:space="preserve"> </w:t>
            </w:r>
            <w:r w:rsidR="00554F2B" w:rsidRPr="00444C3E">
              <w:rPr>
                <w:rFonts w:ascii="Cambria" w:hAnsi="Cambria"/>
                <w:sz w:val="20"/>
                <w:szCs w:val="20"/>
              </w:rPr>
              <w:t>(schválena vládou v VII-2009</w:t>
            </w:r>
            <w:r w:rsidR="004B6B40" w:rsidRPr="00444C3E">
              <w:rPr>
                <w:rFonts w:ascii="Cambria" w:hAnsi="Cambria"/>
                <w:sz w:val="20"/>
                <w:szCs w:val="20"/>
              </w:rPr>
              <w:t xml:space="preserve">; </w:t>
            </w:r>
            <w:r w:rsidR="00C84396" w:rsidRPr="00444C3E">
              <w:rPr>
                <w:rFonts w:ascii="Cambria" w:hAnsi="Cambria"/>
                <w:sz w:val="20"/>
                <w:szCs w:val="20"/>
              </w:rPr>
              <w:t xml:space="preserve">nyní je aktualizována a </w:t>
            </w:r>
            <w:r w:rsidR="000B6E9F">
              <w:rPr>
                <w:rFonts w:ascii="Cambria" w:hAnsi="Cambria"/>
                <w:sz w:val="20"/>
                <w:szCs w:val="20"/>
              </w:rPr>
              <w:t xml:space="preserve">v XII 2014 </w:t>
            </w:r>
            <w:r w:rsidR="004A6AF2">
              <w:rPr>
                <w:rFonts w:ascii="Cambria" w:hAnsi="Cambria"/>
                <w:sz w:val="20"/>
                <w:szCs w:val="20"/>
              </w:rPr>
              <w:t xml:space="preserve">bylo vydáno stanovisko SEA, </w:t>
            </w:r>
            <w:r w:rsidR="004B6B40" w:rsidRPr="00444C3E">
              <w:rPr>
                <w:rFonts w:ascii="Cambria" w:hAnsi="Cambria"/>
                <w:sz w:val="20"/>
                <w:szCs w:val="20"/>
              </w:rPr>
              <w:t>do</w:t>
            </w:r>
            <w:r w:rsidR="000B6E9F">
              <w:rPr>
                <w:rFonts w:ascii="Cambria" w:hAnsi="Cambria"/>
                <w:sz w:val="20"/>
                <w:szCs w:val="20"/>
              </w:rPr>
              <w:t xml:space="preserve"> konce III</w:t>
            </w:r>
            <w:r w:rsidR="0059414F">
              <w:rPr>
                <w:rFonts w:ascii="Cambria" w:hAnsi="Cambria"/>
                <w:sz w:val="20"/>
                <w:szCs w:val="20"/>
              </w:rPr>
              <w:t>-</w:t>
            </w:r>
            <w:r w:rsidR="000B6E9F">
              <w:rPr>
                <w:rFonts w:ascii="Cambria" w:hAnsi="Cambria"/>
                <w:sz w:val="20"/>
                <w:szCs w:val="20"/>
              </w:rPr>
              <w:t>2015</w:t>
            </w:r>
            <w:r w:rsidR="004B6B40" w:rsidRPr="00444C3E">
              <w:rPr>
                <w:rFonts w:ascii="Cambria" w:hAnsi="Cambria"/>
                <w:sz w:val="20"/>
                <w:szCs w:val="20"/>
              </w:rPr>
              <w:t xml:space="preserve"> má být vládě předložen návrh aktualizace</w:t>
            </w:r>
            <w:r w:rsidR="000B6E9F">
              <w:rPr>
                <w:rFonts w:ascii="Cambria" w:hAnsi="Cambria"/>
                <w:sz w:val="20"/>
                <w:szCs w:val="20"/>
              </w:rPr>
              <w:t xml:space="preserve"> ke schválení</w:t>
            </w:r>
            <w:r w:rsidR="000369DE" w:rsidRPr="00444C3E">
              <w:rPr>
                <w:rFonts w:ascii="Cambria" w:hAnsi="Cambria"/>
                <w:sz w:val="20"/>
                <w:szCs w:val="20"/>
              </w:rPr>
              <w:t xml:space="preserve">) – </w:t>
            </w:r>
            <w:r w:rsidRPr="00444C3E">
              <w:rPr>
                <w:rFonts w:ascii="Cambria" w:hAnsi="Cambria"/>
                <w:sz w:val="20"/>
                <w:szCs w:val="20"/>
              </w:rPr>
              <w:t>zohledňuje případná opatření i s ohledem na změny klimatu</w:t>
            </w:r>
            <w:r w:rsidR="000369DE" w:rsidRPr="00444C3E">
              <w:rPr>
                <w:rFonts w:ascii="Cambria" w:hAnsi="Cambria"/>
                <w:sz w:val="20"/>
                <w:szCs w:val="20"/>
              </w:rPr>
              <w:t>.</w:t>
            </w:r>
          </w:p>
          <w:p w14:paraId="55315339" w14:textId="77777777" w:rsidR="00A73596" w:rsidRPr="00444C3E" w:rsidRDefault="00A73596" w:rsidP="007A1D96">
            <w:pPr>
              <w:pStyle w:val="DAVA"/>
              <w:spacing w:before="0" w:after="60"/>
              <w:jc w:val="left"/>
              <w:rPr>
                <w:rFonts w:ascii="Cambria" w:hAnsi="Cambria"/>
                <w:sz w:val="20"/>
                <w:szCs w:val="20"/>
              </w:rPr>
            </w:pPr>
          </w:p>
          <w:p w14:paraId="60528793" w14:textId="77777777" w:rsidR="00683FF0" w:rsidRPr="00444C3E" w:rsidRDefault="00B928A7" w:rsidP="007A1D96">
            <w:pPr>
              <w:pStyle w:val="DAVA"/>
              <w:spacing w:before="0" w:after="60"/>
              <w:jc w:val="left"/>
              <w:rPr>
                <w:rFonts w:ascii="Cambria" w:hAnsi="Cambria"/>
                <w:sz w:val="20"/>
                <w:szCs w:val="20"/>
              </w:rPr>
            </w:pPr>
            <w:r w:rsidRPr="00444C3E">
              <w:rPr>
                <w:rFonts w:ascii="Cambria" w:hAnsi="Cambria"/>
                <w:b/>
                <w:sz w:val="20"/>
                <w:szCs w:val="20"/>
              </w:rPr>
              <w:t xml:space="preserve">Předpokladem </w:t>
            </w:r>
            <w:r w:rsidR="00B119BA" w:rsidRPr="00444C3E">
              <w:rPr>
                <w:rFonts w:ascii="Cambria" w:hAnsi="Cambria"/>
                <w:b/>
                <w:sz w:val="20"/>
                <w:szCs w:val="20"/>
              </w:rPr>
              <w:t>pro zpřesnění hodnocení a omezení rizik</w:t>
            </w:r>
            <w:r w:rsidRPr="00444C3E">
              <w:rPr>
                <w:rFonts w:ascii="Cambria" w:hAnsi="Cambria"/>
                <w:b/>
                <w:sz w:val="20"/>
                <w:szCs w:val="20"/>
              </w:rPr>
              <w:t xml:space="preserve"> </w:t>
            </w:r>
            <w:r w:rsidR="00BA6E6C" w:rsidRPr="00444C3E">
              <w:rPr>
                <w:rFonts w:ascii="Cambria" w:hAnsi="Cambria"/>
                <w:b/>
                <w:sz w:val="20"/>
                <w:szCs w:val="20"/>
              </w:rPr>
              <w:t xml:space="preserve">s ohledem na klimatickou změnu </w:t>
            </w:r>
            <w:r w:rsidRPr="00444C3E">
              <w:rPr>
                <w:rFonts w:ascii="Cambria" w:hAnsi="Cambria"/>
                <w:b/>
                <w:sz w:val="20"/>
                <w:szCs w:val="20"/>
              </w:rPr>
              <w:t>je</w:t>
            </w:r>
            <w:r w:rsidR="00CE3F34" w:rsidRPr="00444C3E">
              <w:rPr>
                <w:rFonts w:ascii="Cambria" w:hAnsi="Cambria"/>
                <w:b/>
                <w:sz w:val="20"/>
                <w:szCs w:val="20"/>
              </w:rPr>
              <w:t xml:space="preserve"> </w:t>
            </w:r>
            <w:r w:rsidRPr="00444C3E">
              <w:rPr>
                <w:rFonts w:ascii="Cambria" w:hAnsi="Cambria"/>
                <w:b/>
                <w:sz w:val="20"/>
                <w:szCs w:val="20"/>
              </w:rPr>
              <w:t>schválení</w:t>
            </w:r>
            <w:r w:rsidR="00CE3F34" w:rsidRPr="00444C3E">
              <w:rPr>
                <w:rFonts w:ascii="Cambria" w:hAnsi="Cambria"/>
                <w:sz w:val="20"/>
                <w:szCs w:val="20"/>
              </w:rPr>
              <w:t xml:space="preserve"> </w:t>
            </w:r>
            <w:r w:rsidR="00CE3F34" w:rsidRPr="00444C3E">
              <w:rPr>
                <w:rFonts w:ascii="Cambria" w:hAnsi="Cambria"/>
                <w:b/>
                <w:sz w:val="20"/>
                <w:szCs w:val="20"/>
                <w:u w:val="single"/>
              </w:rPr>
              <w:t>Strategie přizpůsobení se změně klimatu v podmínkách ČR</w:t>
            </w:r>
            <w:r w:rsidR="00683FF0" w:rsidRPr="00444C3E">
              <w:rPr>
                <w:rFonts w:ascii="Cambria" w:hAnsi="Cambria"/>
                <w:b/>
                <w:sz w:val="20"/>
                <w:szCs w:val="20"/>
              </w:rPr>
              <w:t xml:space="preserve"> (</w:t>
            </w:r>
            <w:r w:rsidR="00873EF7" w:rsidRPr="00444C3E">
              <w:rPr>
                <w:rFonts w:ascii="Cambria" w:hAnsi="Cambria"/>
                <w:b/>
                <w:sz w:val="20"/>
                <w:szCs w:val="20"/>
              </w:rPr>
              <w:t xml:space="preserve">dále </w:t>
            </w:r>
            <w:r w:rsidR="00683FF0" w:rsidRPr="00444C3E">
              <w:rPr>
                <w:rFonts w:ascii="Cambria" w:hAnsi="Cambria"/>
                <w:b/>
                <w:sz w:val="20"/>
                <w:szCs w:val="20"/>
              </w:rPr>
              <w:t>a</w:t>
            </w:r>
            <w:r w:rsidR="00416873" w:rsidRPr="00444C3E">
              <w:rPr>
                <w:rFonts w:ascii="Cambria" w:hAnsi="Cambria"/>
                <w:b/>
                <w:sz w:val="20"/>
                <w:szCs w:val="20"/>
              </w:rPr>
              <w:t>daptační strategie</w:t>
            </w:r>
            <w:r w:rsidR="00683FF0" w:rsidRPr="00444C3E">
              <w:rPr>
                <w:rFonts w:ascii="Cambria" w:hAnsi="Cambria"/>
                <w:b/>
                <w:sz w:val="20"/>
                <w:szCs w:val="20"/>
              </w:rPr>
              <w:t>)</w:t>
            </w:r>
            <w:r w:rsidR="00B119BA" w:rsidRPr="00444C3E">
              <w:rPr>
                <w:rFonts w:ascii="Cambria" w:hAnsi="Cambria"/>
                <w:sz w:val="20"/>
                <w:szCs w:val="20"/>
              </w:rPr>
              <w:t xml:space="preserve"> a plnění opatření k realizaci výše uvedených koncepcí a plánů</w:t>
            </w:r>
            <w:r w:rsidR="00CE3F34" w:rsidRPr="00444C3E">
              <w:rPr>
                <w:rFonts w:ascii="Cambria" w:hAnsi="Cambria"/>
                <w:sz w:val="20"/>
                <w:szCs w:val="20"/>
              </w:rPr>
              <w:t xml:space="preserve">. </w:t>
            </w:r>
            <w:r w:rsidR="00397A10" w:rsidRPr="00444C3E">
              <w:rPr>
                <w:rFonts w:ascii="Cambria" w:hAnsi="Cambria"/>
                <w:sz w:val="20"/>
                <w:szCs w:val="20"/>
              </w:rPr>
              <w:t xml:space="preserve">Návrh </w:t>
            </w:r>
            <w:r w:rsidR="00D5695F" w:rsidRPr="00444C3E">
              <w:rPr>
                <w:rFonts w:ascii="Cambria" w:hAnsi="Cambria"/>
                <w:sz w:val="20"/>
                <w:szCs w:val="20"/>
              </w:rPr>
              <w:t xml:space="preserve">této </w:t>
            </w:r>
            <w:r w:rsidR="00397A10" w:rsidRPr="00444C3E">
              <w:rPr>
                <w:rFonts w:ascii="Cambria" w:hAnsi="Cambria"/>
                <w:sz w:val="20"/>
                <w:szCs w:val="20"/>
              </w:rPr>
              <w:t>strategie vznikal v rámci široké meziresortní spolupráce.</w:t>
            </w:r>
            <w:r w:rsidR="00F3266A" w:rsidRPr="00444C3E">
              <w:rPr>
                <w:rFonts w:ascii="Cambria" w:hAnsi="Cambria"/>
                <w:sz w:val="20"/>
                <w:szCs w:val="20"/>
              </w:rPr>
              <w:t xml:space="preserve"> </w:t>
            </w:r>
            <w:r w:rsidR="00683FF0" w:rsidRPr="00444C3E">
              <w:rPr>
                <w:rFonts w:ascii="Cambria" w:hAnsi="Cambria"/>
                <w:b/>
                <w:sz w:val="20"/>
                <w:szCs w:val="20"/>
              </w:rPr>
              <w:t>V</w:t>
            </w:r>
            <w:r w:rsidR="00A26323" w:rsidRPr="00444C3E">
              <w:rPr>
                <w:rFonts w:ascii="Cambria" w:hAnsi="Cambria"/>
                <w:b/>
                <w:sz w:val="20"/>
                <w:szCs w:val="20"/>
              </w:rPr>
              <w:t xml:space="preserve"> návrhu </w:t>
            </w:r>
            <w:r w:rsidR="00D5695F" w:rsidRPr="00444C3E">
              <w:rPr>
                <w:rFonts w:ascii="Cambria" w:hAnsi="Cambria"/>
                <w:b/>
                <w:sz w:val="20"/>
                <w:szCs w:val="20"/>
              </w:rPr>
              <w:t>adaptační strategi</w:t>
            </w:r>
            <w:r w:rsidR="00A26323" w:rsidRPr="00444C3E">
              <w:rPr>
                <w:rFonts w:ascii="Cambria" w:hAnsi="Cambria"/>
                <w:b/>
                <w:sz w:val="20"/>
                <w:szCs w:val="20"/>
              </w:rPr>
              <w:t>e</w:t>
            </w:r>
            <w:r w:rsidR="00D5695F" w:rsidRPr="00444C3E">
              <w:rPr>
                <w:rFonts w:ascii="Cambria" w:hAnsi="Cambria"/>
                <w:b/>
                <w:sz w:val="20"/>
                <w:szCs w:val="20"/>
              </w:rPr>
              <w:t xml:space="preserve"> jsou</w:t>
            </w:r>
            <w:r w:rsidR="00683FF0" w:rsidRPr="00444C3E">
              <w:rPr>
                <w:rFonts w:ascii="Cambria" w:hAnsi="Cambria"/>
                <w:b/>
                <w:sz w:val="20"/>
                <w:szCs w:val="20"/>
              </w:rPr>
              <w:t xml:space="preserve"> </w:t>
            </w:r>
            <w:r w:rsidR="00397A10" w:rsidRPr="00444C3E">
              <w:rPr>
                <w:rFonts w:ascii="Cambria" w:hAnsi="Cambria"/>
                <w:b/>
                <w:sz w:val="20"/>
                <w:szCs w:val="20"/>
              </w:rPr>
              <w:t xml:space="preserve">pro jednotlivé </w:t>
            </w:r>
            <w:r w:rsidR="00563DEE" w:rsidRPr="00444C3E">
              <w:rPr>
                <w:rFonts w:ascii="Cambria" w:hAnsi="Cambria"/>
                <w:b/>
                <w:sz w:val="20"/>
                <w:szCs w:val="20"/>
              </w:rPr>
              <w:t xml:space="preserve">prioritní oblasti hospodářství a životního prostředí </w:t>
            </w:r>
            <w:r w:rsidR="00B676B8" w:rsidRPr="00444C3E">
              <w:rPr>
                <w:rFonts w:ascii="Cambria" w:hAnsi="Cambria"/>
                <w:b/>
                <w:sz w:val="20"/>
                <w:szCs w:val="20"/>
              </w:rPr>
              <w:t xml:space="preserve">(sektory) </w:t>
            </w:r>
            <w:r w:rsidR="00D5695F" w:rsidRPr="00444C3E">
              <w:rPr>
                <w:rFonts w:ascii="Cambria" w:hAnsi="Cambria"/>
                <w:b/>
                <w:sz w:val="20"/>
                <w:szCs w:val="20"/>
              </w:rPr>
              <w:t xml:space="preserve">sumarizovány </w:t>
            </w:r>
            <w:r w:rsidR="00563DEE" w:rsidRPr="00444C3E">
              <w:rPr>
                <w:rFonts w:ascii="Cambria" w:hAnsi="Cambria"/>
                <w:b/>
                <w:sz w:val="20"/>
                <w:szCs w:val="20"/>
              </w:rPr>
              <w:t xml:space="preserve">předpokládané </w:t>
            </w:r>
            <w:r w:rsidR="00D5695F" w:rsidRPr="00444C3E">
              <w:rPr>
                <w:rFonts w:ascii="Cambria" w:hAnsi="Cambria"/>
                <w:b/>
                <w:sz w:val="20"/>
                <w:szCs w:val="20"/>
              </w:rPr>
              <w:t>dopady změny klimatu</w:t>
            </w:r>
            <w:r w:rsidR="00563DEE" w:rsidRPr="00444C3E">
              <w:rPr>
                <w:rFonts w:ascii="Cambria" w:hAnsi="Cambria"/>
                <w:b/>
                <w:sz w:val="20"/>
                <w:szCs w:val="20"/>
              </w:rPr>
              <w:t xml:space="preserve">, definována vhodná adaptační opatření, identifikovány překážky bránící jejich realizaci, definován cílený výzkum a </w:t>
            </w:r>
            <w:r w:rsidR="00563DEE" w:rsidRPr="00444C3E">
              <w:rPr>
                <w:rFonts w:ascii="Cambria" w:hAnsi="Cambria"/>
                <w:b/>
                <w:sz w:val="20"/>
                <w:szCs w:val="20"/>
              </w:rPr>
              <w:lastRenderedPageBreak/>
              <w:t xml:space="preserve">analytické potřeby aj. Součástí je </w:t>
            </w:r>
            <w:r w:rsidR="00683FF0" w:rsidRPr="00444C3E">
              <w:rPr>
                <w:rFonts w:ascii="Cambria" w:hAnsi="Cambria"/>
                <w:b/>
                <w:sz w:val="20"/>
                <w:szCs w:val="20"/>
              </w:rPr>
              <w:t xml:space="preserve">i kapitola věnující se oblasti krizového řízení. </w:t>
            </w:r>
            <w:r w:rsidR="00CE3F34" w:rsidRPr="00444C3E">
              <w:rPr>
                <w:rFonts w:ascii="Cambria" w:hAnsi="Cambria"/>
                <w:sz w:val="20"/>
                <w:szCs w:val="20"/>
              </w:rPr>
              <w:t xml:space="preserve">Návrh adaptační strategie je připraven k předložení do procesu posuzování vlivů koncepcí na životní prostředí (SEA) a procesu </w:t>
            </w:r>
            <w:r w:rsidR="00563DEE" w:rsidRPr="00444C3E">
              <w:rPr>
                <w:rFonts w:ascii="Cambria" w:hAnsi="Cambria"/>
                <w:sz w:val="20"/>
                <w:szCs w:val="20"/>
              </w:rPr>
              <w:t xml:space="preserve">meziresortního </w:t>
            </w:r>
            <w:r w:rsidR="00CE3F34" w:rsidRPr="00444C3E">
              <w:rPr>
                <w:rFonts w:ascii="Cambria" w:hAnsi="Cambria"/>
                <w:sz w:val="20"/>
                <w:szCs w:val="20"/>
              </w:rPr>
              <w:t>připomínkového řízení</w:t>
            </w:r>
            <w:r w:rsidR="00A26323" w:rsidRPr="00444C3E">
              <w:rPr>
                <w:rFonts w:ascii="Cambria" w:hAnsi="Cambria"/>
                <w:sz w:val="20"/>
                <w:szCs w:val="20"/>
              </w:rPr>
              <w:t xml:space="preserve"> (MPŘ) dle zákonných požadavků platné legislativy ČR</w:t>
            </w:r>
            <w:r w:rsidR="00CE3F34" w:rsidRPr="00444C3E">
              <w:rPr>
                <w:rFonts w:ascii="Cambria" w:hAnsi="Cambria"/>
                <w:sz w:val="20"/>
                <w:szCs w:val="20"/>
              </w:rPr>
              <w:t xml:space="preserve">. Po vydání stanoviska SEA bude adaptační strategie předložena </w:t>
            </w:r>
            <w:r w:rsidR="0048503F" w:rsidRPr="00444C3E">
              <w:rPr>
                <w:rFonts w:ascii="Cambria" w:hAnsi="Cambria"/>
                <w:sz w:val="20"/>
                <w:szCs w:val="20"/>
              </w:rPr>
              <w:t>v</w:t>
            </w:r>
            <w:r w:rsidR="00CE3F34" w:rsidRPr="00444C3E">
              <w:rPr>
                <w:rFonts w:ascii="Cambria" w:hAnsi="Cambria"/>
                <w:sz w:val="20"/>
                <w:szCs w:val="20"/>
              </w:rPr>
              <w:t xml:space="preserve">ládě ke schválení. </w:t>
            </w:r>
          </w:p>
        </w:tc>
      </w:tr>
      <w:tr w:rsidR="00D27AF2" w:rsidRPr="006E43D9" w14:paraId="37B849F7" w14:textId="77777777" w:rsidTr="008976C7">
        <w:trPr>
          <w:trHeight w:val="244"/>
        </w:trPr>
        <w:tc>
          <w:tcPr>
            <w:tcW w:w="1276" w:type="dxa"/>
            <w:shd w:val="clear" w:color="auto" w:fill="EAF1DD" w:themeFill="accent3" w:themeFillTint="33"/>
            <w:tcMar>
              <w:left w:w="28" w:type="dxa"/>
              <w:right w:w="28" w:type="dxa"/>
            </w:tcMar>
          </w:tcPr>
          <w:p w14:paraId="6C8A8D97" w14:textId="75B4320E" w:rsidR="00D8521B" w:rsidRPr="00444C3E" w:rsidRDefault="00D8521B" w:rsidP="008165D1">
            <w:pPr>
              <w:pStyle w:val="DAVA"/>
              <w:spacing w:before="60"/>
              <w:jc w:val="left"/>
              <w:rPr>
                <w:rFonts w:ascii="Cambria" w:hAnsi="Cambria"/>
                <w:sz w:val="20"/>
                <w:szCs w:val="20"/>
              </w:rPr>
            </w:pPr>
          </w:p>
        </w:tc>
        <w:tc>
          <w:tcPr>
            <w:tcW w:w="1174" w:type="dxa"/>
            <w:shd w:val="clear" w:color="auto" w:fill="EAF1DD" w:themeFill="accent3" w:themeFillTint="33"/>
            <w:tcMar>
              <w:left w:w="28" w:type="dxa"/>
              <w:right w:w="28" w:type="dxa"/>
            </w:tcMar>
          </w:tcPr>
          <w:p w14:paraId="1A66BA97" w14:textId="77777777" w:rsidR="00D8521B" w:rsidRPr="00444C3E" w:rsidRDefault="00D8521B" w:rsidP="008165D1">
            <w:pPr>
              <w:pStyle w:val="DAVA"/>
              <w:spacing w:before="60"/>
              <w:jc w:val="left"/>
              <w:rPr>
                <w:rFonts w:ascii="Cambria" w:hAnsi="Cambria"/>
                <w:sz w:val="20"/>
                <w:szCs w:val="20"/>
              </w:rPr>
            </w:pPr>
          </w:p>
        </w:tc>
        <w:tc>
          <w:tcPr>
            <w:tcW w:w="1094" w:type="dxa"/>
            <w:shd w:val="clear" w:color="auto" w:fill="EAF1DD" w:themeFill="accent3" w:themeFillTint="33"/>
            <w:tcMar>
              <w:left w:w="28" w:type="dxa"/>
              <w:right w:w="28" w:type="dxa"/>
            </w:tcMar>
          </w:tcPr>
          <w:p w14:paraId="7210F983" w14:textId="77777777" w:rsidR="00D8521B" w:rsidRPr="00444C3E" w:rsidRDefault="00D8521B" w:rsidP="00CF4379">
            <w:pPr>
              <w:pStyle w:val="DAVA"/>
              <w:spacing w:before="60"/>
              <w:jc w:val="center"/>
              <w:rPr>
                <w:rFonts w:ascii="Cambria" w:hAnsi="Cambria"/>
                <w:sz w:val="20"/>
                <w:szCs w:val="20"/>
              </w:rPr>
            </w:pPr>
          </w:p>
        </w:tc>
        <w:tc>
          <w:tcPr>
            <w:tcW w:w="992" w:type="dxa"/>
            <w:shd w:val="clear" w:color="auto" w:fill="EAF1DD" w:themeFill="accent3" w:themeFillTint="33"/>
            <w:tcMar>
              <w:left w:w="28" w:type="dxa"/>
              <w:right w:w="28" w:type="dxa"/>
            </w:tcMar>
          </w:tcPr>
          <w:p w14:paraId="1040FB72" w14:textId="77777777" w:rsidR="00D8521B" w:rsidRPr="00444C3E" w:rsidRDefault="00D93B8B" w:rsidP="008165D1">
            <w:pPr>
              <w:spacing w:before="60" w:after="0" w:line="240" w:lineRule="auto"/>
              <w:rPr>
                <w:rFonts w:ascii="Cambria" w:eastAsia="Times New Roman" w:hAnsi="Cambria"/>
                <w:sz w:val="20"/>
                <w:szCs w:val="20"/>
                <w:lang w:eastAsia="cs-CZ"/>
              </w:rPr>
            </w:pPr>
            <w:r w:rsidRPr="00444C3E">
              <w:rPr>
                <w:rFonts w:ascii="Cambria" w:eastAsia="Times New Roman" w:hAnsi="Cambria"/>
                <w:sz w:val="20"/>
                <w:szCs w:val="20"/>
                <w:lang w:eastAsia="cs-CZ"/>
              </w:rPr>
              <w:t xml:space="preserve">- </w:t>
            </w:r>
            <w:r w:rsidR="00C1052E" w:rsidRPr="00444C3E">
              <w:rPr>
                <w:rFonts w:ascii="Cambria" w:eastAsia="Times New Roman" w:hAnsi="Cambria"/>
                <w:b/>
                <w:sz w:val="20"/>
                <w:szCs w:val="20"/>
                <w:lang w:eastAsia="cs-CZ"/>
              </w:rPr>
              <w:t>popis postupu, metodiky, metod</w:t>
            </w:r>
            <w:r w:rsidR="00C1052E" w:rsidRPr="00444C3E">
              <w:rPr>
                <w:rFonts w:ascii="Cambria" w:eastAsia="Times New Roman" w:hAnsi="Cambria"/>
                <w:sz w:val="20"/>
                <w:szCs w:val="20"/>
                <w:lang w:eastAsia="cs-CZ"/>
              </w:rPr>
              <w:t xml:space="preserve"> a jiných než citlivých údajů používaných </w:t>
            </w:r>
            <w:r w:rsidR="00C1052E" w:rsidRPr="00444C3E">
              <w:rPr>
                <w:rFonts w:ascii="Cambria" w:eastAsia="Times New Roman" w:hAnsi="Cambria"/>
                <w:b/>
                <w:sz w:val="20"/>
                <w:szCs w:val="20"/>
                <w:lang w:eastAsia="cs-CZ"/>
              </w:rPr>
              <w:t xml:space="preserve">pro účely posuzování rizik, </w:t>
            </w:r>
            <w:r w:rsidR="00C1052E" w:rsidRPr="00444C3E">
              <w:rPr>
                <w:rFonts w:ascii="Cambria" w:eastAsia="Times New Roman" w:hAnsi="Cambria"/>
                <w:sz w:val="20"/>
                <w:szCs w:val="20"/>
                <w:lang w:eastAsia="cs-CZ"/>
              </w:rPr>
              <w:t xml:space="preserve">jakož i </w:t>
            </w:r>
            <w:r w:rsidR="00C1052E" w:rsidRPr="00444C3E">
              <w:rPr>
                <w:rFonts w:ascii="Cambria" w:eastAsia="Times New Roman" w:hAnsi="Cambria"/>
                <w:b/>
                <w:sz w:val="20"/>
                <w:szCs w:val="20"/>
                <w:lang w:eastAsia="cs-CZ"/>
              </w:rPr>
              <w:t>kritéria pro stanovování investičních priorit</w:t>
            </w:r>
            <w:r w:rsidR="00C1052E" w:rsidRPr="00444C3E">
              <w:rPr>
                <w:rFonts w:ascii="Cambria" w:eastAsia="Times New Roman" w:hAnsi="Cambria"/>
                <w:sz w:val="20"/>
                <w:szCs w:val="20"/>
                <w:lang w:eastAsia="cs-CZ"/>
              </w:rPr>
              <w:t xml:space="preserve"> v závislosti na riziku,</w:t>
            </w:r>
          </w:p>
        </w:tc>
        <w:tc>
          <w:tcPr>
            <w:tcW w:w="993" w:type="dxa"/>
            <w:shd w:val="clear" w:color="auto" w:fill="EAF1DD" w:themeFill="accent3" w:themeFillTint="33"/>
            <w:tcMar>
              <w:left w:w="28" w:type="dxa"/>
              <w:right w:w="28" w:type="dxa"/>
            </w:tcMar>
          </w:tcPr>
          <w:p w14:paraId="7BC44FA4" w14:textId="7018B2E7" w:rsidR="009C01D5" w:rsidRDefault="009C01D5" w:rsidP="007E7B3D">
            <w:pPr>
              <w:pStyle w:val="DAVA"/>
              <w:spacing w:before="60"/>
              <w:rPr>
                <w:rFonts w:ascii="Cambria" w:hAnsi="Cambria"/>
                <w:sz w:val="20"/>
                <w:szCs w:val="20"/>
              </w:rPr>
            </w:pPr>
          </w:p>
          <w:p w14:paraId="27FB0AC6" w14:textId="0281CD15" w:rsidR="00D8521B" w:rsidRPr="00444C3E" w:rsidRDefault="009C01D5" w:rsidP="008165D1">
            <w:pPr>
              <w:pStyle w:val="DAVA"/>
              <w:spacing w:before="60"/>
              <w:jc w:val="center"/>
              <w:rPr>
                <w:rFonts w:ascii="Cambria" w:hAnsi="Cambria"/>
                <w:sz w:val="20"/>
                <w:szCs w:val="20"/>
              </w:rPr>
            </w:pPr>
            <w:r>
              <w:rPr>
                <w:rFonts w:ascii="Cambria" w:hAnsi="Cambria"/>
                <w:sz w:val="20"/>
                <w:szCs w:val="20"/>
              </w:rPr>
              <w:t>(</w:t>
            </w:r>
            <w:r w:rsidR="00F82751" w:rsidRPr="00444C3E">
              <w:rPr>
                <w:rFonts w:ascii="Cambria" w:hAnsi="Cambria"/>
                <w:sz w:val="20"/>
                <w:szCs w:val="20"/>
              </w:rPr>
              <w:t>částečně</w:t>
            </w:r>
            <w:r>
              <w:rPr>
                <w:rFonts w:ascii="Cambria" w:hAnsi="Cambria"/>
                <w:sz w:val="20"/>
                <w:szCs w:val="20"/>
              </w:rPr>
              <w:t>)</w:t>
            </w:r>
          </w:p>
        </w:tc>
        <w:tc>
          <w:tcPr>
            <w:tcW w:w="3685" w:type="dxa"/>
            <w:shd w:val="clear" w:color="auto" w:fill="EAF1DD" w:themeFill="accent3" w:themeFillTint="33"/>
            <w:tcMar>
              <w:left w:w="28" w:type="dxa"/>
              <w:right w:w="28" w:type="dxa"/>
            </w:tcMar>
          </w:tcPr>
          <w:p w14:paraId="64D916E8" w14:textId="77777777" w:rsidR="003A7458" w:rsidRPr="00444C3E" w:rsidRDefault="003A7458" w:rsidP="007A1D96">
            <w:pPr>
              <w:pStyle w:val="DAVA"/>
              <w:spacing w:before="0"/>
              <w:jc w:val="left"/>
              <w:rPr>
                <w:rFonts w:ascii="Cambria" w:hAnsi="Cambria"/>
                <w:sz w:val="20"/>
                <w:szCs w:val="20"/>
              </w:rPr>
            </w:pPr>
            <w:r w:rsidRPr="00444C3E">
              <w:rPr>
                <w:rFonts w:ascii="Cambria" w:hAnsi="Cambria"/>
                <w:b/>
                <w:sz w:val="20"/>
                <w:szCs w:val="20"/>
                <w:u w:val="single"/>
              </w:rPr>
              <w:t>Systém integrované výstražné služby:</w:t>
            </w:r>
          </w:p>
          <w:p w14:paraId="7750BF55" w14:textId="77777777" w:rsidR="00D8521B" w:rsidRPr="00444C3E" w:rsidRDefault="00D17FC4" w:rsidP="00C84396">
            <w:pPr>
              <w:pStyle w:val="DAVA"/>
              <w:spacing w:before="0"/>
              <w:ind w:firstLine="113"/>
              <w:jc w:val="left"/>
              <w:rPr>
                <w:rFonts w:ascii="Cambria" w:hAnsi="Cambria"/>
                <w:sz w:val="20"/>
                <w:szCs w:val="20"/>
              </w:rPr>
            </w:pPr>
            <w:hyperlink r:id="rId21" w:history="1">
              <w:r w:rsidR="0051257C" w:rsidRPr="00444C3E">
                <w:rPr>
                  <w:rStyle w:val="Hypertextovodkaz"/>
                  <w:rFonts w:ascii="Cambria" w:hAnsi="Cambria"/>
                  <w:sz w:val="20"/>
                  <w:szCs w:val="20"/>
                </w:rPr>
                <w:t>http://portal.chmi.cz/files/portal/docs/meteo/om/sivs/sivs.html</w:t>
              </w:r>
            </w:hyperlink>
          </w:p>
          <w:p w14:paraId="6FC92626" w14:textId="77777777" w:rsidR="00C64590" w:rsidRPr="00444C3E" w:rsidRDefault="00C64590" w:rsidP="007A1D96">
            <w:pPr>
              <w:pStyle w:val="DAVA"/>
              <w:spacing w:before="0"/>
              <w:jc w:val="left"/>
              <w:rPr>
                <w:rFonts w:ascii="Cambria" w:hAnsi="Cambria"/>
                <w:sz w:val="20"/>
                <w:szCs w:val="20"/>
              </w:rPr>
            </w:pPr>
          </w:p>
          <w:p w14:paraId="12C96CD4" w14:textId="77777777" w:rsidR="003A7458" w:rsidRPr="00444C3E" w:rsidRDefault="003A7458" w:rsidP="007A1D96">
            <w:pPr>
              <w:pStyle w:val="DAVA"/>
              <w:spacing w:before="0"/>
              <w:jc w:val="left"/>
              <w:rPr>
                <w:rFonts w:ascii="Cambria" w:hAnsi="Cambria"/>
                <w:sz w:val="20"/>
                <w:szCs w:val="20"/>
              </w:rPr>
            </w:pPr>
            <w:r w:rsidRPr="00444C3E">
              <w:rPr>
                <w:rFonts w:ascii="Cambria" w:hAnsi="Cambria"/>
                <w:b/>
                <w:sz w:val="20"/>
                <w:szCs w:val="20"/>
                <w:u w:val="single"/>
              </w:rPr>
              <w:t>Hlásná a předpovědní povodňová služba:</w:t>
            </w:r>
          </w:p>
          <w:p w14:paraId="5460BF94" w14:textId="77777777" w:rsidR="00BA6E6C" w:rsidRPr="00444C3E" w:rsidRDefault="00D17FC4" w:rsidP="00C84396">
            <w:pPr>
              <w:pStyle w:val="DAVA"/>
              <w:spacing w:before="0"/>
              <w:ind w:firstLine="113"/>
              <w:jc w:val="left"/>
              <w:rPr>
                <w:rFonts w:ascii="Cambria" w:hAnsi="Cambria"/>
                <w:sz w:val="20"/>
                <w:szCs w:val="20"/>
              </w:rPr>
            </w:pPr>
            <w:hyperlink r:id="rId22" w:history="1">
              <w:r w:rsidR="0051257C" w:rsidRPr="00444C3E">
                <w:rPr>
                  <w:rStyle w:val="Hypertextovodkaz"/>
                  <w:rFonts w:ascii="Cambria" w:hAnsi="Cambria"/>
                  <w:sz w:val="20"/>
                  <w:szCs w:val="20"/>
                </w:rPr>
                <w:t>http://hydro.chmi.cz/hpps/</w:t>
              </w:r>
            </w:hyperlink>
          </w:p>
          <w:p w14:paraId="1EA2844F" w14:textId="77777777" w:rsidR="00C64590" w:rsidRPr="00444C3E" w:rsidRDefault="00C64590" w:rsidP="007A1D96">
            <w:pPr>
              <w:pStyle w:val="DAVA"/>
              <w:spacing w:before="0"/>
              <w:jc w:val="left"/>
              <w:rPr>
                <w:rFonts w:ascii="Cambria" w:hAnsi="Cambria"/>
                <w:sz w:val="20"/>
                <w:szCs w:val="20"/>
              </w:rPr>
            </w:pPr>
          </w:p>
          <w:p w14:paraId="5BBA819F" w14:textId="77777777" w:rsidR="003A7458" w:rsidRPr="00444C3E" w:rsidRDefault="003A7458" w:rsidP="007A1D96">
            <w:pPr>
              <w:pStyle w:val="DAVA"/>
              <w:spacing w:before="0"/>
              <w:jc w:val="left"/>
              <w:rPr>
                <w:rFonts w:ascii="Cambria" w:hAnsi="Cambria"/>
                <w:sz w:val="20"/>
                <w:szCs w:val="20"/>
              </w:rPr>
            </w:pPr>
            <w:r w:rsidRPr="00444C3E">
              <w:rPr>
                <w:rFonts w:ascii="Cambria" w:hAnsi="Cambria"/>
                <w:b/>
                <w:sz w:val="20"/>
                <w:szCs w:val="20"/>
                <w:u w:val="single"/>
              </w:rPr>
              <w:t>METEOALARM:</w:t>
            </w:r>
          </w:p>
          <w:p w14:paraId="1D0B9013" w14:textId="77777777" w:rsidR="00BA6E6C" w:rsidRPr="00444C3E" w:rsidRDefault="00D17FC4" w:rsidP="00C84396">
            <w:pPr>
              <w:pStyle w:val="DAVA"/>
              <w:spacing w:before="0"/>
              <w:ind w:firstLine="113"/>
              <w:jc w:val="left"/>
              <w:rPr>
                <w:rFonts w:ascii="Cambria" w:hAnsi="Cambria"/>
                <w:sz w:val="20"/>
                <w:szCs w:val="20"/>
              </w:rPr>
            </w:pPr>
            <w:hyperlink r:id="rId23" w:history="1">
              <w:r w:rsidR="0051257C" w:rsidRPr="00444C3E">
                <w:rPr>
                  <w:rStyle w:val="Hypertextovodkaz"/>
                  <w:rFonts w:ascii="Cambria" w:hAnsi="Cambria"/>
                  <w:sz w:val="20"/>
                  <w:szCs w:val="20"/>
                </w:rPr>
                <w:t>http://www.meteoalarm.eu/</w:t>
              </w:r>
            </w:hyperlink>
          </w:p>
          <w:p w14:paraId="5FA2DE2D" w14:textId="77777777" w:rsidR="00BA6E6C" w:rsidRPr="00444C3E" w:rsidRDefault="00BA6E6C" w:rsidP="007A1D96">
            <w:pPr>
              <w:pStyle w:val="DAVA"/>
              <w:spacing w:before="0"/>
              <w:jc w:val="left"/>
              <w:rPr>
                <w:rFonts w:ascii="Cambria" w:hAnsi="Cambria"/>
                <w:sz w:val="20"/>
                <w:szCs w:val="20"/>
              </w:rPr>
            </w:pPr>
          </w:p>
          <w:p w14:paraId="063243CF" w14:textId="77777777" w:rsidR="00A73596" w:rsidRPr="00444C3E" w:rsidRDefault="00A73596" w:rsidP="007A7AF6">
            <w:pPr>
              <w:spacing w:after="60" w:line="240" w:lineRule="auto"/>
              <w:jc w:val="both"/>
              <w:rPr>
                <w:rFonts w:ascii="Cambria" w:eastAsia="Times New Roman" w:hAnsi="Cambria"/>
                <w:sz w:val="20"/>
                <w:szCs w:val="20"/>
                <w:lang w:eastAsia="cs-CZ"/>
              </w:rPr>
            </w:pPr>
          </w:p>
          <w:p w14:paraId="51601F69" w14:textId="77777777" w:rsidR="007A7AF6" w:rsidRPr="00444C3E" w:rsidRDefault="00D17FC4" w:rsidP="00C84396">
            <w:pPr>
              <w:spacing w:after="60" w:line="240" w:lineRule="auto"/>
              <w:ind w:firstLine="113"/>
              <w:jc w:val="both"/>
              <w:rPr>
                <w:rFonts w:ascii="Cambria" w:eastAsia="Times New Roman" w:hAnsi="Cambria"/>
                <w:sz w:val="20"/>
                <w:szCs w:val="20"/>
                <w:lang w:eastAsia="cs-CZ"/>
              </w:rPr>
            </w:pPr>
            <w:hyperlink r:id="rId24" w:history="1">
              <w:r w:rsidR="00C84396" w:rsidRPr="00444C3E">
                <w:rPr>
                  <w:rStyle w:val="Hypertextovodkaz"/>
                  <w:rFonts w:ascii="Cambria" w:eastAsia="Times New Roman" w:hAnsi="Cambria"/>
                  <w:sz w:val="20"/>
                  <w:szCs w:val="20"/>
                  <w:lang w:eastAsia="cs-CZ"/>
                </w:rPr>
                <w:t>http://www.hzscr.cz/clanek/vzdelavani-v-oblasti-krizoveho-rizeni.aspx</w:t>
              </w:r>
            </w:hyperlink>
          </w:p>
          <w:p w14:paraId="6FA1D65C" w14:textId="77777777" w:rsidR="007A7AF6" w:rsidRPr="00444C3E" w:rsidRDefault="00D17FC4" w:rsidP="00C84396">
            <w:pPr>
              <w:spacing w:after="60" w:line="240" w:lineRule="auto"/>
              <w:ind w:firstLine="113"/>
              <w:jc w:val="both"/>
              <w:rPr>
                <w:rFonts w:ascii="Cambria" w:eastAsia="Times New Roman" w:hAnsi="Cambria"/>
                <w:sz w:val="20"/>
                <w:szCs w:val="20"/>
                <w:lang w:eastAsia="cs-CZ"/>
              </w:rPr>
            </w:pPr>
            <w:hyperlink r:id="rId25" w:history="1">
              <w:r w:rsidR="00C84396" w:rsidRPr="00444C3E">
                <w:rPr>
                  <w:rStyle w:val="Hypertextovodkaz"/>
                  <w:rFonts w:ascii="Cambria" w:eastAsia="Times New Roman" w:hAnsi="Cambria"/>
                  <w:sz w:val="20"/>
                  <w:szCs w:val="20"/>
                  <w:lang w:eastAsia="cs-CZ"/>
                </w:rPr>
                <w:t>http://www.hzscr.cz/clanek/dokumenty-ke-stazeni.aspx</w:t>
              </w:r>
            </w:hyperlink>
          </w:p>
          <w:p w14:paraId="2EA971BF" w14:textId="77777777" w:rsidR="00C84396" w:rsidRPr="00444C3E" w:rsidRDefault="00D17FC4" w:rsidP="00C84396">
            <w:pPr>
              <w:pStyle w:val="DAVA"/>
              <w:spacing w:before="0" w:after="60"/>
              <w:ind w:firstLine="113"/>
              <w:jc w:val="left"/>
              <w:rPr>
                <w:rFonts w:ascii="Cambria" w:hAnsi="Cambria"/>
                <w:sz w:val="20"/>
                <w:szCs w:val="20"/>
              </w:rPr>
            </w:pPr>
            <w:hyperlink r:id="rId26" w:history="1">
              <w:r w:rsidR="00C84396" w:rsidRPr="00444C3E">
                <w:rPr>
                  <w:rStyle w:val="Hypertextovodkaz"/>
                  <w:rFonts w:ascii="Cambria" w:hAnsi="Cambria"/>
                  <w:sz w:val="20"/>
                  <w:szCs w:val="20"/>
                </w:rPr>
                <w:t>http://krizport.firebrno.cz/dokumenty/seznam-prehled-metodik-pro-analyzu-rizik</w:t>
              </w:r>
            </w:hyperlink>
          </w:p>
          <w:p w14:paraId="357D7CA3" w14:textId="77777777" w:rsidR="00FE2FE4" w:rsidRPr="00444C3E" w:rsidRDefault="00D17FC4" w:rsidP="00C84396">
            <w:pPr>
              <w:pStyle w:val="DAVA"/>
              <w:spacing w:before="0" w:after="60"/>
              <w:ind w:firstLine="113"/>
              <w:jc w:val="left"/>
              <w:rPr>
                <w:rFonts w:ascii="Cambria" w:hAnsi="Cambria"/>
                <w:sz w:val="20"/>
                <w:szCs w:val="20"/>
              </w:rPr>
            </w:pPr>
            <w:hyperlink r:id="rId27" w:history="1">
              <w:r w:rsidR="00C84396" w:rsidRPr="00444C3E">
                <w:rPr>
                  <w:rStyle w:val="Hypertextovodkaz"/>
                  <w:rFonts w:ascii="Cambria" w:hAnsi="Cambria"/>
                  <w:sz w:val="20"/>
                  <w:szCs w:val="20"/>
                </w:rPr>
                <w:t>http://krizport.firebrno.cz/dokumenty/zasady-pro-pripravu-a-provedeni-cviceni-organu-krizoveho</w:t>
              </w:r>
            </w:hyperlink>
          </w:p>
          <w:p w14:paraId="2A23414C" w14:textId="77777777" w:rsidR="00C84396" w:rsidRPr="00444C3E" w:rsidRDefault="00C84396" w:rsidP="00C84396">
            <w:pPr>
              <w:pStyle w:val="DAVA"/>
              <w:spacing w:before="0" w:after="60"/>
              <w:ind w:firstLine="113"/>
              <w:jc w:val="left"/>
              <w:rPr>
                <w:rFonts w:ascii="Cambria" w:hAnsi="Cambria"/>
                <w:sz w:val="20"/>
                <w:szCs w:val="20"/>
              </w:rPr>
            </w:pPr>
          </w:p>
        </w:tc>
        <w:tc>
          <w:tcPr>
            <w:tcW w:w="4678" w:type="dxa"/>
            <w:shd w:val="clear" w:color="auto" w:fill="EAF1DD" w:themeFill="accent3" w:themeFillTint="33"/>
            <w:tcMar>
              <w:left w:w="28" w:type="dxa"/>
              <w:right w:w="28" w:type="dxa"/>
            </w:tcMar>
          </w:tcPr>
          <w:p w14:paraId="258CD069" w14:textId="77777777" w:rsidR="00367663" w:rsidRPr="00444C3E" w:rsidRDefault="0009298A" w:rsidP="007A1D96">
            <w:pPr>
              <w:pStyle w:val="DAVA"/>
              <w:spacing w:before="0" w:after="60"/>
              <w:jc w:val="left"/>
              <w:rPr>
                <w:rFonts w:ascii="Cambria" w:hAnsi="Cambria"/>
                <w:sz w:val="20"/>
                <w:szCs w:val="20"/>
              </w:rPr>
            </w:pPr>
            <w:r w:rsidRPr="00444C3E">
              <w:rPr>
                <w:rFonts w:ascii="Cambria" w:hAnsi="Cambria"/>
                <w:b/>
                <w:sz w:val="20"/>
                <w:szCs w:val="20"/>
              </w:rPr>
              <w:t>ČHMÚ provozuje varovnou hlásnou předpovědní službu</w:t>
            </w:r>
            <w:r w:rsidRPr="00444C3E">
              <w:rPr>
                <w:rFonts w:ascii="Cambria" w:hAnsi="Cambria"/>
                <w:sz w:val="20"/>
                <w:szCs w:val="20"/>
              </w:rPr>
              <w:t xml:space="preserve"> zahrnující extrémní meteorologické jevy (srážky, </w:t>
            </w:r>
            <w:r w:rsidR="00C1442F" w:rsidRPr="00444C3E">
              <w:rPr>
                <w:rFonts w:ascii="Cambria" w:hAnsi="Cambria"/>
                <w:sz w:val="20"/>
                <w:szCs w:val="20"/>
              </w:rPr>
              <w:t>teploty, vítr), povodně a sucho</w:t>
            </w:r>
            <w:r w:rsidR="00D5214C" w:rsidRPr="00444C3E">
              <w:rPr>
                <w:rFonts w:ascii="Cambria" w:hAnsi="Cambria"/>
                <w:sz w:val="20"/>
                <w:szCs w:val="20"/>
              </w:rPr>
              <w:t xml:space="preserve"> v rámci</w:t>
            </w:r>
            <w:r w:rsidR="00C1442F" w:rsidRPr="00444C3E">
              <w:rPr>
                <w:rFonts w:ascii="Cambria" w:hAnsi="Cambria"/>
                <w:sz w:val="20"/>
                <w:szCs w:val="20"/>
              </w:rPr>
              <w:t xml:space="preserve"> </w:t>
            </w:r>
            <w:r w:rsidR="00E67529" w:rsidRPr="00444C3E">
              <w:rPr>
                <w:rFonts w:ascii="Cambria" w:hAnsi="Cambria"/>
                <w:b/>
                <w:sz w:val="20"/>
                <w:szCs w:val="20"/>
                <w:u w:val="single"/>
              </w:rPr>
              <w:t>S</w:t>
            </w:r>
            <w:r w:rsidR="00367663" w:rsidRPr="00444C3E">
              <w:rPr>
                <w:rFonts w:ascii="Cambria" w:hAnsi="Cambria"/>
                <w:b/>
                <w:sz w:val="20"/>
                <w:szCs w:val="20"/>
                <w:u w:val="single"/>
              </w:rPr>
              <w:t>ystém</w:t>
            </w:r>
            <w:r w:rsidR="00D5214C" w:rsidRPr="00444C3E">
              <w:rPr>
                <w:rFonts w:ascii="Cambria" w:hAnsi="Cambria"/>
                <w:b/>
                <w:sz w:val="20"/>
                <w:szCs w:val="20"/>
                <w:u w:val="single"/>
              </w:rPr>
              <w:t>u</w:t>
            </w:r>
            <w:r w:rsidR="00367663" w:rsidRPr="00444C3E">
              <w:rPr>
                <w:rFonts w:ascii="Cambria" w:hAnsi="Cambria"/>
                <w:b/>
                <w:sz w:val="20"/>
                <w:szCs w:val="20"/>
                <w:u w:val="single"/>
              </w:rPr>
              <w:t xml:space="preserve"> inte</w:t>
            </w:r>
            <w:r w:rsidR="00C1442F" w:rsidRPr="00444C3E">
              <w:rPr>
                <w:rFonts w:ascii="Cambria" w:hAnsi="Cambria"/>
                <w:b/>
                <w:sz w:val="20"/>
                <w:szCs w:val="20"/>
                <w:u w:val="single"/>
              </w:rPr>
              <w:t>grované výstražné služby</w:t>
            </w:r>
            <w:r w:rsidR="00C1442F" w:rsidRPr="00444C3E">
              <w:rPr>
                <w:rFonts w:ascii="Cambria" w:hAnsi="Cambria"/>
                <w:sz w:val="20"/>
                <w:szCs w:val="20"/>
              </w:rPr>
              <w:t xml:space="preserve"> (SIVS)</w:t>
            </w:r>
            <w:r w:rsidR="00E67529" w:rsidRPr="00444C3E">
              <w:rPr>
                <w:rFonts w:ascii="Cambria" w:hAnsi="Cambria"/>
                <w:sz w:val="20"/>
                <w:szCs w:val="20"/>
              </w:rPr>
              <w:t xml:space="preserve"> a</w:t>
            </w:r>
            <w:r w:rsidR="00C1442F" w:rsidRPr="00444C3E">
              <w:rPr>
                <w:rFonts w:ascii="Cambria" w:hAnsi="Cambria"/>
                <w:sz w:val="20"/>
                <w:szCs w:val="20"/>
              </w:rPr>
              <w:t xml:space="preserve"> </w:t>
            </w:r>
            <w:r w:rsidR="00367663" w:rsidRPr="00444C3E">
              <w:rPr>
                <w:rFonts w:ascii="Cambria" w:hAnsi="Cambria"/>
                <w:b/>
                <w:sz w:val="20"/>
                <w:szCs w:val="20"/>
                <w:u w:val="single"/>
              </w:rPr>
              <w:t>Hlásn</w:t>
            </w:r>
            <w:r w:rsidR="00D5214C" w:rsidRPr="00444C3E">
              <w:rPr>
                <w:rFonts w:ascii="Cambria" w:hAnsi="Cambria"/>
                <w:b/>
                <w:sz w:val="20"/>
                <w:szCs w:val="20"/>
                <w:u w:val="single"/>
              </w:rPr>
              <w:t>é</w:t>
            </w:r>
            <w:r w:rsidR="00367663" w:rsidRPr="00444C3E">
              <w:rPr>
                <w:rFonts w:ascii="Cambria" w:hAnsi="Cambria"/>
                <w:b/>
                <w:sz w:val="20"/>
                <w:szCs w:val="20"/>
                <w:u w:val="single"/>
              </w:rPr>
              <w:t xml:space="preserve"> a </w:t>
            </w:r>
            <w:r w:rsidR="00C1442F" w:rsidRPr="00444C3E">
              <w:rPr>
                <w:rFonts w:ascii="Cambria" w:hAnsi="Cambria"/>
                <w:b/>
                <w:sz w:val="20"/>
                <w:szCs w:val="20"/>
                <w:u w:val="single"/>
              </w:rPr>
              <w:t>předpovědní povodňov</w:t>
            </w:r>
            <w:r w:rsidR="00D5214C" w:rsidRPr="00444C3E">
              <w:rPr>
                <w:rFonts w:ascii="Cambria" w:hAnsi="Cambria"/>
                <w:b/>
                <w:sz w:val="20"/>
                <w:szCs w:val="20"/>
                <w:u w:val="single"/>
              </w:rPr>
              <w:t>é</w:t>
            </w:r>
            <w:r w:rsidR="00C1442F" w:rsidRPr="00444C3E">
              <w:rPr>
                <w:rFonts w:ascii="Cambria" w:hAnsi="Cambria"/>
                <w:b/>
                <w:sz w:val="20"/>
                <w:szCs w:val="20"/>
                <w:u w:val="single"/>
              </w:rPr>
              <w:t xml:space="preserve"> služb</w:t>
            </w:r>
            <w:r w:rsidR="00D5214C" w:rsidRPr="00444C3E">
              <w:rPr>
                <w:rFonts w:ascii="Cambria" w:hAnsi="Cambria"/>
                <w:b/>
                <w:sz w:val="20"/>
                <w:szCs w:val="20"/>
                <w:u w:val="single"/>
              </w:rPr>
              <w:t>y</w:t>
            </w:r>
            <w:r w:rsidR="00C1442F" w:rsidRPr="00444C3E">
              <w:rPr>
                <w:rFonts w:ascii="Cambria" w:hAnsi="Cambria"/>
                <w:sz w:val="20"/>
                <w:szCs w:val="20"/>
              </w:rPr>
              <w:t xml:space="preserve"> a</w:t>
            </w:r>
            <w:r w:rsidR="00367663" w:rsidRPr="00444C3E">
              <w:rPr>
                <w:rFonts w:ascii="Cambria" w:hAnsi="Cambria"/>
                <w:sz w:val="20"/>
                <w:szCs w:val="20"/>
              </w:rPr>
              <w:t xml:space="preserve"> je součástí evropského výstražn</w:t>
            </w:r>
            <w:r w:rsidR="00C1442F" w:rsidRPr="00444C3E">
              <w:rPr>
                <w:rFonts w:ascii="Cambria" w:hAnsi="Cambria"/>
                <w:sz w:val="20"/>
                <w:szCs w:val="20"/>
              </w:rPr>
              <w:t xml:space="preserve">ého systému </w:t>
            </w:r>
            <w:r w:rsidR="00C1442F" w:rsidRPr="00444C3E">
              <w:rPr>
                <w:rFonts w:ascii="Cambria" w:hAnsi="Cambria"/>
                <w:b/>
                <w:sz w:val="20"/>
                <w:szCs w:val="20"/>
                <w:u w:val="single"/>
              </w:rPr>
              <w:t>METEOALARM</w:t>
            </w:r>
            <w:r w:rsidR="00E67529" w:rsidRPr="00444C3E">
              <w:rPr>
                <w:rFonts w:ascii="Cambria" w:hAnsi="Cambria"/>
                <w:sz w:val="20"/>
                <w:szCs w:val="20"/>
              </w:rPr>
              <w:t>.</w:t>
            </w:r>
          </w:p>
          <w:p w14:paraId="262410C8" w14:textId="77777777" w:rsidR="0009298A" w:rsidRPr="00444C3E" w:rsidRDefault="0009298A" w:rsidP="007A1D96">
            <w:pPr>
              <w:pStyle w:val="DAVA"/>
              <w:spacing w:before="0" w:after="60"/>
              <w:jc w:val="left"/>
              <w:rPr>
                <w:rFonts w:ascii="Cambria" w:hAnsi="Cambria"/>
                <w:sz w:val="20"/>
                <w:szCs w:val="20"/>
              </w:rPr>
            </w:pPr>
            <w:r w:rsidRPr="00444C3E">
              <w:rPr>
                <w:rFonts w:ascii="Cambria" w:hAnsi="Cambria"/>
                <w:b/>
                <w:sz w:val="20"/>
                <w:szCs w:val="20"/>
              </w:rPr>
              <w:t>Rizika přírodních katastrof na území ČR jsou v obecné rovině známa</w:t>
            </w:r>
            <w:r w:rsidRPr="00444C3E">
              <w:rPr>
                <w:rFonts w:ascii="Cambria" w:hAnsi="Cambria"/>
                <w:sz w:val="20"/>
                <w:szCs w:val="20"/>
              </w:rPr>
              <w:t xml:space="preserve"> (</w:t>
            </w:r>
            <w:r w:rsidR="00182E09" w:rsidRPr="00444C3E">
              <w:rPr>
                <w:rFonts w:ascii="Cambria" w:hAnsi="Cambria"/>
                <w:sz w:val="20"/>
                <w:szCs w:val="20"/>
              </w:rPr>
              <w:t xml:space="preserve">tj. </w:t>
            </w:r>
            <w:r w:rsidRPr="00444C3E">
              <w:rPr>
                <w:rFonts w:ascii="Cambria" w:hAnsi="Cambria"/>
                <w:sz w:val="20"/>
                <w:szCs w:val="20"/>
              </w:rPr>
              <w:t>byla hodnocena</w:t>
            </w:r>
            <w:r w:rsidR="00986551" w:rsidRPr="00444C3E">
              <w:rPr>
                <w:rFonts w:ascii="Cambria" w:hAnsi="Cambria"/>
                <w:sz w:val="20"/>
                <w:szCs w:val="20"/>
              </w:rPr>
              <w:t>; jsou obsažena v </w:t>
            </w:r>
            <w:r w:rsidR="00986551" w:rsidRPr="00444C3E">
              <w:rPr>
                <w:rFonts w:ascii="Cambria" w:hAnsi="Cambria"/>
                <w:b/>
                <w:sz w:val="20"/>
                <w:szCs w:val="20"/>
                <w:u w:val="single"/>
              </w:rPr>
              <w:t>Databázi zdrojů rizika</w:t>
            </w:r>
            <w:r w:rsidR="00986551" w:rsidRPr="00444C3E">
              <w:rPr>
                <w:rFonts w:ascii="Cambria" w:hAnsi="Cambria"/>
                <w:sz w:val="20"/>
                <w:szCs w:val="20"/>
              </w:rPr>
              <w:t>, kterou zpracovává a provozuje MŽP a zpřístupňuje ústředním správním úřadům</w:t>
            </w:r>
            <w:r w:rsidRPr="00444C3E">
              <w:rPr>
                <w:rFonts w:ascii="Cambria" w:hAnsi="Cambria"/>
                <w:sz w:val="20"/>
                <w:szCs w:val="20"/>
              </w:rPr>
              <w:t>)</w:t>
            </w:r>
            <w:r w:rsidR="005C4C50" w:rsidRPr="00444C3E">
              <w:rPr>
                <w:rFonts w:ascii="Cambria" w:hAnsi="Cambria"/>
                <w:sz w:val="20"/>
                <w:szCs w:val="20"/>
              </w:rPr>
              <w:t>,</w:t>
            </w:r>
            <w:r w:rsidRPr="00444C3E">
              <w:rPr>
                <w:rFonts w:ascii="Cambria" w:hAnsi="Cambria"/>
                <w:sz w:val="20"/>
                <w:szCs w:val="20"/>
              </w:rPr>
              <w:t xml:space="preserve"> a jsou přijímána </w:t>
            </w:r>
            <w:r w:rsidR="00182E09" w:rsidRPr="00444C3E">
              <w:rPr>
                <w:rFonts w:ascii="Cambria" w:hAnsi="Cambria"/>
                <w:sz w:val="20"/>
                <w:szCs w:val="20"/>
              </w:rPr>
              <w:t xml:space="preserve">adaptační opatření a </w:t>
            </w:r>
            <w:r w:rsidRPr="00444C3E">
              <w:rPr>
                <w:rFonts w:ascii="Cambria" w:hAnsi="Cambria"/>
                <w:sz w:val="20"/>
                <w:szCs w:val="20"/>
              </w:rPr>
              <w:t>opatření na omezení jejich následků</w:t>
            </w:r>
            <w:r w:rsidR="00182E09" w:rsidRPr="00444C3E">
              <w:rPr>
                <w:rFonts w:ascii="Cambria" w:hAnsi="Cambria"/>
                <w:sz w:val="20"/>
                <w:szCs w:val="20"/>
              </w:rPr>
              <w:t xml:space="preserve">. </w:t>
            </w:r>
            <w:r w:rsidR="004A6482" w:rsidRPr="00444C3E">
              <w:rPr>
                <w:rFonts w:ascii="Cambria" w:hAnsi="Cambria"/>
                <w:sz w:val="20"/>
                <w:szCs w:val="20"/>
              </w:rPr>
              <w:t xml:space="preserve">Databáze je součástí Krizového plánu </w:t>
            </w:r>
            <w:r w:rsidR="00EB40A0" w:rsidRPr="00444C3E">
              <w:rPr>
                <w:rFonts w:ascii="Cambria" w:hAnsi="Cambria"/>
                <w:sz w:val="20"/>
                <w:szCs w:val="20"/>
              </w:rPr>
              <w:t xml:space="preserve">MŽP </w:t>
            </w:r>
            <w:r w:rsidR="004A6482" w:rsidRPr="00444C3E">
              <w:rPr>
                <w:rFonts w:ascii="Cambria" w:hAnsi="Cambria"/>
                <w:sz w:val="20"/>
                <w:szCs w:val="20"/>
              </w:rPr>
              <w:t xml:space="preserve">(povinnost ze zákona č. 240/2000 Sb.). Na základě vyhodnocení rizika byla zpracována Koncepce environmentální bezpečnosti, formulována opatření a stanoveny priority. </w:t>
            </w:r>
            <w:r w:rsidR="00182E09" w:rsidRPr="00444C3E">
              <w:rPr>
                <w:rFonts w:ascii="Cambria" w:hAnsi="Cambria"/>
                <w:sz w:val="20"/>
                <w:szCs w:val="20"/>
              </w:rPr>
              <w:t xml:space="preserve">Zatím nedostatečně řešené je omezování následků dlouhodobého sucha. </w:t>
            </w:r>
          </w:p>
          <w:p w14:paraId="50A48AD1" w14:textId="77777777" w:rsidR="00C84396" w:rsidRPr="00444C3E" w:rsidRDefault="00C84396" w:rsidP="007A1D96">
            <w:pPr>
              <w:pStyle w:val="DAVA"/>
              <w:spacing w:before="0" w:after="60"/>
              <w:jc w:val="left"/>
              <w:rPr>
                <w:rFonts w:ascii="Cambria" w:hAnsi="Cambria"/>
                <w:sz w:val="20"/>
                <w:szCs w:val="20"/>
              </w:rPr>
            </w:pPr>
          </w:p>
          <w:p w14:paraId="536E5CAD" w14:textId="77777777" w:rsidR="00986551" w:rsidRPr="00444C3E" w:rsidRDefault="00416873" w:rsidP="003A7458">
            <w:pPr>
              <w:pStyle w:val="DAVA"/>
              <w:spacing w:before="0" w:after="60"/>
              <w:jc w:val="left"/>
              <w:rPr>
                <w:rFonts w:ascii="Cambria" w:hAnsi="Cambria"/>
                <w:sz w:val="20"/>
                <w:szCs w:val="20"/>
              </w:rPr>
            </w:pPr>
            <w:r w:rsidRPr="00444C3E">
              <w:rPr>
                <w:rFonts w:ascii="Cambria" w:hAnsi="Cambria"/>
                <w:b/>
                <w:sz w:val="20"/>
                <w:szCs w:val="20"/>
              </w:rPr>
              <w:t>Kritéria pro stanovování investičních priorit v závislosti na riziku</w:t>
            </w:r>
            <w:r w:rsidR="004104EB" w:rsidRPr="00444C3E">
              <w:rPr>
                <w:rFonts w:ascii="Cambria" w:hAnsi="Cambria"/>
                <w:sz w:val="20"/>
                <w:szCs w:val="20"/>
              </w:rPr>
              <w:t xml:space="preserve"> dosud nebyla </w:t>
            </w:r>
            <w:r w:rsidR="005E08C2" w:rsidRPr="00444C3E">
              <w:rPr>
                <w:rFonts w:ascii="Cambria" w:hAnsi="Cambria"/>
                <w:sz w:val="20"/>
                <w:szCs w:val="20"/>
              </w:rPr>
              <w:t>nastavena</w:t>
            </w:r>
            <w:r w:rsidR="004104EB" w:rsidRPr="00444C3E">
              <w:rPr>
                <w:rFonts w:ascii="Cambria" w:hAnsi="Cambria"/>
                <w:sz w:val="20"/>
                <w:szCs w:val="20"/>
              </w:rPr>
              <w:t xml:space="preserve">, </w:t>
            </w:r>
            <w:r w:rsidR="0061036C" w:rsidRPr="00444C3E">
              <w:rPr>
                <w:rFonts w:ascii="Cambria" w:hAnsi="Cambria"/>
                <w:sz w:val="20"/>
                <w:szCs w:val="20"/>
              </w:rPr>
              <w:t>to bude možné</w:t>
            </w:r>
            <w:r w:rsidR="004104EB" w:rsidRPr="00444C3E">
              <w:rPr>
                <w:rFonts w:ascii="Cambria" w:hAnsi="Cambria"/>
                <w:sz w:val="20"/>
                <w:szCs w:val="20"/>
              </w:rPr>
              <w:t xml:space="preserve"> </w:t>
            </w:r>
            <w:r w:rsidR="00D46AA4" w:rsidRPr="00444C3E">
              <w:rPr>
                <w:rFonts w:ascii="Cambria" w:hAnsi="Cambria"/>
                <w:sz w:val="20"/>
                <w:szCs w:val="20"/>
              </w:rPr>
              <w:t xml:space="preserve">na základě </w:t>
            </w:r>
            <w:r w:rsidR="004104EB" w:rsidRPr="00444C3E">
              <w:rPr>
                <w:rFonts w:ascii="Cambria" w:hAnsi="Cambria"/>
                <w:sz w:val="20"/>
                <w:szCs w:val="20"/>
              </w:rPr>
              <w:t xml:space="preserve">zpracování studií zranitelnosti </w:t>
            </w:r>
            <w:r w:rsidR="009A6B4D" w:rsidRPr="00444C3E">
              <w:rPr>
                <w:rFonts w:ascii="Cambria" w:hAnsi="Cambria"/>
                <w:sz w:val="20"/>
                <w:szCs w:val="20"/>
              </w:rPr>
              <w:t xml:space="preserve">pro nejohroženější </w:t>
            </w:r>
            <w:r w:rsidR="005E08C2" w:rsidRPr="00444C3E">
              <w:rPr>
                <w:rFonts w:ascii="Cambria" w:hAnsi="Cambria"/>
                <w:sz w:val="20"/>
                <w:szCs w:val="20"/>
              </w:rPr>
              <w:t>oblasti hospodářství a životního prostředí</w:t>
            </w:r>
            <w:r w:rsidR="00182E09" w:rsidRPr="00444C3E">
              <w:rPr>
                <w:rFonts w:ascii="Cambria" w:hAnsi="Cambria"/>
                <w:sz w:val="20"/>
                <w:szCs w:val="20"/>
              </w:rPr>
              <w:t>, a to</w:t>
            </w:r>
            <w:r w:rsidR="00F82751" w:rsidRPr="00444C3E">
              <w:rPr>
                <w:rFonts w:ascii="Cambria" w:hAnsi="Cambria"/>
                <w:sz w:val="20"/>
                <w:szCs w:val="20"/>
              </w:rPr>
              <w:t xml:space="preserve"> po přijetí adaptační strategie</w:t>
            </w:r>
            <w:r w:rsidR="004104EB" w:rsidRPr="00444C3E">
              <w:rPr>
                <w:rFonts w:ascii="Cambria" w:hAnsi="Cambria"/>
                <w:sz w:val="20"/>
                <w:szCs w:val="20"/>
              </w:rPr>
              <w:t>.</w:t>
            </w:r>
          </w:p>
          <w:p w14:paraId="4BE63024" w14:textId="77777777" w:rsidR="00C84396" w:rsidRPr="00444C3E" w:rsidRDefault="00C84396" w:rsidP="003A7458">
            <w:pPr>
              <w:pStyle w:val="DAVA"/>
              <w:spacing w:before="0" w:after="60"/>
              <w:jc w:val="left"/>
              <w:rPr>
                <w:rFonts w:ascii="Cambria" w:hAnsi="Cambria"/>
                <w:sz w:val="20"/>
                <w:szCs w:val="20"/>
              </w:rPr>
            </w:pPr>
          </w:p>
          <w:p w14:paraId="58D1A001" w14:textId="77777777" w:rsidR="007A7AF6" w:rsidRPr="00444C3E" w:rsidRDefault="007A7AF6" w:rsidP="009310A7">
            <w:pPr>
              <w:spacing w:after="60" w:line="240" w:lineRule="auto"/>
              <w:rPr>
                <w:rFonts w:ascii="Cambria" w:eastAsia="Times New Roman" w:hAnsi="Cambria"/>
                <w:sz w:val="20"/>
                <w:szCs w:val="20"/>
                <w:lang w:eastAsia="cs-CZ"/>
              </w:rPr>
            </w:pPr>
            <w:r w:rsidRPr="00444C3E">
              <w:rPr>
                <w:rFonts w:ascii="Cambria" w:eastAsia="Times New Roman" w:hAnsi="Cambria"/>
                <w:b/>
                <w:sz w:val="20"/>
                <w:szCs w:val="20"/>
                <w:lang w:eastAsia="cs-CZ"/>
              </w:rPr>
              <w:t xml:space="preserve">ČR disponuje nejen komplexem tzv. krizové legislativy, nýbrž i uceleným souborem dokumentů týkajících se postupu, popř. majících charakter metodik, metod a jiných než citlivých </w:t>
            </w:r>
            <w:r w:rsidRPr="00444C3E">
              <w:rPr>
                <w:rFonts w:ascii="Cambria" w:eastAsia="Times New Roman" w:hAnsi="Cambria"/>
                <w:b/>
                <w:sz w:val="20"/>
                <w:szCs w:val="20"/>
                <w:lang w:eastAsia="cs-CZ"/>
              </w:rPr>
              <w:lastRenderedPageBreak/>
              <w:t>údajů používaných pro účely posuzování rizik</w:t>
            </w:r>
            <w:r w:rsidRPr="00444C3E">
              <w:rPr>
                <w:rFonts w:ascii="Cambria" w:eastAsia="Times New Roman" w:hAnsi="Cambria"/>
                <w:sz w:val="20"/>
                <w:szCs w:val="20"/>
                <w:lang w:eastAsia="cs-CZ"/>
              </w:rPr>
              <w:t>. Jedná se o:</w:t>
            </w:r>
          </w:p>
          <w:p w14:paraId="7CF438C6" w14:textId="77777777" w:rsidR="007A7AF6" w:rsidRPr="00444C3E" w:rsidRDefault="007A7AF6" w:rsidP="009310A7">
            <w:pPr>
              <w:spacing w:after="60" w:line="240" w:lineRule="auto"/>
              <w:rPr>
                <w:rFonts w:ascii="Cambria" w:eastAsia="Times New Roman" w:hAnsi="Cambria"/>
                <w:sz w:val="20"/>
                <w:szCs w:val="20"/>
                <w:lang w:eastAsia="cs-CZ"/>
              </w:rPr>
            </w:pPr>
            <w:r w:rsidRPr="00444C3E">
              <w:rPr>
                <w:rFonts w:ascii="Cambria" w:eastAsia="Times New Roman" w:hAnsi="Cambria"/>
                <w:sz w:val="20"/>
                <w:szCs w:val="20"/>
                <w:lang w:eastAsia="cs-CZ"/>
              </w:rPr>
              <w:t xml:space="preserve">- </w:t>
            </w:r>
            <w:r w:rsidRPr="00444C3E">
              <w:rPr>
                <w:rFonts w:ascii="Cambria" w:eastAsia="Times New Roman" w:hAnsi="Cambria"/>
                <w:b/>
                <w:sz w:val="20"/>
                <w:szCs w:val="20"/>
                <w:u w:val="single"/>
                <w:lang w:eastAsia="cs-CZ"/>
              </w:rPr>
              <w:t>Seznam - přehled metodik pro analýzu rizik</w:t>
            </w:r>
            <w:r w:rsidRPr="00444C3E">
              <w:rPr>
                <w:rFonts w:ascii="Cambria" w:eastAsia="Times New Roman" w:hAnsi="Cambria"/>
                <w:b/>
                <w:sz w:val="20"/>
                <w:szCs w:val="20"/>
                <w:lang w:eastAsia="cs-CZ"/>
              </w:rPr>
              <w:t xml:space="preserve"> (2004),</w:t>
            </w:r>
            <w:r w:rsidRPr="00444C3E">
              <w:rPr>
                <w:rFonts w:ascii="Cambria" w:eastAsia="Times New Roman" w:hAnsi="Cambria"/>
                <w:sz w:val="20"/>
                <w:szCs w:val="20"/>
                <w:lang w:eastAsia="cs-CZ"/>
              </w:rPr>
              <w:t xml:space="preserve"> který tvoří přehled základních metodik určení rizik (včetně rizik způsobených přírodními vlivy).</w:t>
            </w:r>
          </w:p>
          <w:p w14:paraId="40331225" w14:textId="77777777" w:rsidR="007A7AF6" w:rsidRPr="00444C3E" w:rsidRDefault="007A7AF6" w:rsidP="009310A7">
            <w:pPr>
              <w:spacing w:after="60" w:line="240" w:lineRule="auto"/>
              <w:rPr>
                <w:rFonts w:ascii="Cambria" w:eastAsia="Times New Roman" w:hAnsi="Cambria"/>
                <w:sz w:val="20"/>
                <w:szCs w:val="20"/>
                <w:lang w:eastAsia="cs-CZ"/>
              </w:rPr>
            </w:pPr>
            <w:r w:rsidRPr="00444C3E">
              <w:rPr>
                <w:rFonts w:ascii="Cambria" w:eastAsia="Times New Roman" w:hAnsi="Cambria"/>
                <w:sz w:val="20"/>
                <w:szCs w:val="20"/>
                <w:lang w:eastAsia="cs-CZ"/>
              </w:rPr>
              <w:t xml:space="preserve">- </w:t>
            </w:r>
            <w:r w:rsidRPr="00444C3E">
              <w:rPr>
                <w:rFonts w:ascii="Cambria" w:eastAsia="Times New Roman" w:hAnsi="Cambria"/>
                <w:b/>
                <w:sz w:val="20"/>
                <w:szCs w:val="20"/>
                <w:u w:val="single"/>
                <w:lang w:eastAsia="cs-CZ"/>
              </w:rPr>
              <w:t>Metodika zpracovávání krizových plánů</w:t>
            </w:r>
            <w:r w:rsidRPr="00444C3E">
              <w:rPr>
                <w:rFonts w:ascii="Cambria" w:eastAsia="Times New Roman" w:hAnsi="Cambria"/>
                <w:b/>
                <w:sz w:val="20"/>
                <w:szCs w:val="20"/>
                <w:lang w:eastAsia="cs-CZ"/>
              </w:rPr>
              <w:t xml:space="preserve"> (2011)</w:t>
            </w:r>
            <w:r w:rsidRPr="00444C3E">
              <w:rPr>
                <w:rFonts w:ascii="Cambria" w:eastAsia="Times New Roman" w:hAnsi="Cambria"/>
                <w:sz w:val="20"/>
                <w:szCs w:val="20"/>
                <w:lang w:eastAsia="cs-CZ"/>
              </w:rPr>
              <w:t xml:space="preserve"> slouží k zajištění jednotného postupu při zpracování krizových plánů a je považována za pomůcku krizového řízení (včetně rizik způsobených přírodními vlivy).</w:t>
            </w:r>
          </w:p>
          <w:p w14:paraId="024BE5FE" w14:textId="77777777" w:rsidR="007A7AF6" w:rsidRPr="00444C3E" w:rsidRDefault="007A7AF6" w:rsidP="009310A7">
            <w:pPr>
              <w:spacing w:after="60" w:line="240" w:lineRule="auto"/>
              <w:rPr>
                <w:rFonts w:ascii="Cambria" w:eastAsia="Times New Roman" w:hAnsi="Cambria"/>
                <w:sz w:val="20"/>
                <w:szCs w:val="20"/>
                <w:lang w:eastAsia="cs-CZ"/>
              </w:rPr>
            </w:pPr>
            <w:r w:rsidRPr="00444C3E">
              <w:rPr>
                <w:rFonts w:ascii="Cambria" w:eastAsia="Times New Roman" w:hAnsi="Cambria"/>
                <w:b/>
                <w:sz w:val="20"/>
                <w:szCs w:val="20"/>
                <w:lang w:eastAsia="cs-CZ"/>
              </w:rPr>
              <w:t xml:space="preserve">- </w:t>
            </w:r>
            <w:r w:rsidRPr="00444C3E">
              <w:rPr>
                <w:rFonts w:ascii="Cambria" w:eastAsia="Times New Roman" w:hAnsi="Cambria"/>
                <w:b/>
                <w:sz w:val="20"/>
                <w:szCs w:val="20"/>
                <w:u w:val="single"/>
                <w:lang w:eastAsia="cs-CZ"/>
              </w:rPr>
              <w:t>Metodika zpracovávání plánů krizové připravenosti</w:t>
            </w:r>
            <w:r w:rsidRPr="00444C3E">
              <w:rPr>
                <w:rFonts w:ascii="Cambria" w:eastAsia="Times New Roman" w:hAnsi="Cambria"/>
                <w:b/>
                <w:sz w:val="20"/>
                <w:szCs w:val="20"/>
                <w:lang w:eastAsia="cs-CZ"/>
              </w:rPr>
              <w:t xml:space="preserve"> (2012)</w:t>
            </w:r>
            <w:r w:rsidRPr="00444C3E">
              <w:rPr>
                <w:rFonts w:ascii="Cambria" w:eastAsia="Times New Roman" w:hAnsi="Cambria"/>
                <w:sz w:val="20"/>
                <w:szCs w:val="20"/>
                <w:lang w:eastAsia="cs-CZ"/>
              </w:rPr>
              <w:t>, jenž stanoví obsahové vymezení náležitostí a další podrobnosti související se zpracováním plánu krizové připravenosti právnické osoby plnící úkoly vyplývající z krizového plánu a se zpracováním plánu krizové připravenosti subjektu kritické infrastruktury (včetně rizik způsobených přírodními vlivy).</w:t>
            </w:r>
            <w:r w:rsidRPr="00444C3E">
              <w:rPr>
                <w:rStyle w:val="Znakapoznpodarou"/>
                <w:rFonts w:ascii="Cambria" w:eastAsia="Times New Roman" w:hAnsi="Cambria"/>
                <w:sz w:val="20"/>
                <w:szCs w:val="20"/>
                <w:lang w:eastAsia="cs-CZ"/>
              </w:rPr>
              <w:footnoteReference w:id="7"/>
            </w:r>
            <w:r w:rsidRPr="00444C3E">
              <w:rPr>
                <w:rFonts w:ascii="Cambria" w:eastAsia="Times New Roman" w:hAnsi="Cambria"/>
                <w:sz w:val="20"/>
                <w:szCs w:val="20"/>
                <w:lang w:eastAsia="cs-CZ"/>
              </w:rPr>
              <w:t xml:space="preserve"> </w:t>
            </w:r>
          </w:p>
          <w:p w14:paraId="34C2FEDE" w14:textId="77777777" w:rsidR="00FE2FE4" w:rsidRPr="00444C3E" w:rsidRDefault="007A7AF6" w:rsidP="00FE2FE4">
            <w:pPr>
              <w:pStyle w:val="DAVA"/>
              <w:spacing w:before="0" w:after="60"/>
              <w:jc w:val="left"/>
              <w:rPr>
                <w:rFonts w:ascii="Cambria" w:hAnsi="Cambria"/>
                <w:sz w:val="20"/>
                <w:szCs w:val="20"/>
              </w:rPr>
            </w:pPr>
            <w:r w:rsidRPr="00444C3E">
              <w:rPr>
                <w:rFonts w:ascii="Cambria" w:hAnsi="Cambria"/>
                <w:b/>
                <w:sz w:val="20"/>
                <w:szCs w:val="20"/>
              </w:rPr>
              <w:t>- S</w:t>
            </w:r>
            <w:r w:rsidRPr="00444C3E">
              <w:rPr>
                <w:rFonts w:ascii="Cambria" w:hAnsi="Cambria"/>
                <w:b/>
                <w:sz w:val="20"/>
                <w:szCs w:val="20"/>
                <w:u w:val="single"/>
              </w:rPr>
              <w:t>měrnice Ministerstva vnitra  č.j. MV-117572-2/PO-OKR-2011</w:t>
            </w:r>
            <w:r w:rsidRPr="00444C3E">
              <w:rPr>
                <w:rFonts w:ascii="Cambria" w:hAnsi="Cambria"/>
                <w:sz w:val="20"/>
                <w:szCs w:val="20"/>
              </w:rPr>
              <w:t>, ze dne 24. listopadu 2011, která stanoví jednotná pravidla organizačního uspořádání krizového štábu kraje, krizového štábu obce s rozšířenou působností a krizového štábu obce.</w:t>
            </w:r>
          </w:p>
        </w:tc>
      </w:tr>
      <w:tr w:rsidR="00CF4379" w:rsidRPr="006E43D9" w14:paraId="00C8555E" w14:textId="77777777" w:rsidTr="008976C7">
        <w:trPr>
          <w:trHeight w:val="248"/>
        </w:trPr>
        <w:tc>
          <w:tcPr>
            <w:tcW w:w="1276" w:type="dxa"/>
            <w:shd w:val="clear" w:color="auto" w:fill="EAF1DD" w:themeFill="accent3" w:themeFillTint="33"/>
            <w:tcMar>
              <w:left w:w="28" w:type="dxa"/>
              <w:right w:w="28" w:type="dxa"/>
            </w:tcMar>
          </w:tcPr>
          <w:p w14:paraId="33FA65DE" w14:textId="353032B3" w:rsidR="00CF4379" w:rsidRPr="00444C3E" w:rsidRDefault="00CF4379" w:rsidP="008165D1">
            <w:pPr>
              <w:pStyle w:val="DAVA"/>
              <w:spacing w:before="60"/>
              <w:jc w:val="left"/>
              <w:rPr>
                <w:rFonts w:ascii="Cambria" w:hAnsi="Cambria"/>
                <w:sz w:val="20"/>
                <w:szCs w:val="20"/>
              </w:rPr>
            </w:pPr>
          </w:p>
        </w:tc>
        <w:tc>
          <w:tcPr>
            <w:tcW w:w="1174" w:type="dxa"/>
            <w:shd w:val="clear" w:color="auto" w:fill="EAF1DD" w:themeFill="accent3" w:themeFillTint="33"/>
            <w:tcMar>
              <w:left w:w="28" w:type="dxa"/>
              <w:right w:w="28" w:type="dxa"/>
            </w:tcMar>
          </w:tcPr>
          <w:p w14:paraId="2822C706" w14:textId="77777777" w:rsidR="00CF4379" w:rsidRPr="00444C3E" w:rsidRDefault="00CF4379" w:rsidP="008165D1">
            <w:pPr>
              <w:pStyle w:val="DAVA"/>
              <w:spacing w:before="60"/>
              <w:jc w:val="left"/>
              <w:rPr>
                <w:rFonts w:ascii="Cambria" w:hAnsi="Cambria"/>
                <w:sz w:val="20"/>
                <w:szCs w:val="20"/>
              </w:rPr>
            </w:pPr>
          </w:p>
        </w:tc>
        <w:tc>
          <w:tcPr>
            <w:tcW w:w="1094" w:type="dxa"/>
            <w:shd w:val="clear" w:color="auto" w:fill="EAF1DD" w:themeFill="accent3" w:themeFillTint="33"/>
            <w:tcMar>
              <w:left w:w="28" w:type="dxa"/>
              <w:right w:w="28" w:type="dxa"/>
            </w:tcMar>
          </w:tcPr>
          <w:p w14:paraId="5939EEB2" w14:textId="77777777" w:rsidR="00CF4379" w:rsidRPr="00444C3E" w:rsidRDefault="00CF4379" w:rsidP="00CF4379">
            <w:pPr>
              <w:pStyle w:val="DAVA"/>
              <w:spacing w:before="60"/>
              <w:jc w:val="center"/>
              <w:rPr>
                <w:rFonts w:ascii="Cambria" w:hAnsi="Cambria"/>
                <w:i/>
                <w:sz w:val="20"/>
                <w:szCs w:val="20"/>
              </w:rPr>
            </w:pPr>
          </w:p>
        </w:tc>
        <w:tc>
          <w:tcPr>
            <w:tcW w:w="992" w:type="dxa"/>
            <w:shd w:val="clear" w:color="auto" w:fill="EAF1DD" w:themeFill="accent3" w:themeFillTint="33"/>
            <w:tcMar>
              <w:left w:w="28" w:type="dxa"/>
              <w:right w:w="28" w:type="dxa"/>
            </w:tcMar>
          </w:tcPr>
          <w:p w14:paraId="1E870160" w14:textId="77777777" w:rsidR="00CF4379" w:rsidRPr="00444C3E" w:rsidRDefault="00CF4379" w:rsidP="008165D1">
            <w:pPr>
              <w:spacing w:before="60" w:after="0" w:line="240" w:lineRule="auto"/>
              <w:rPr>
                <w:rFonts w:ascii="Cambria" w:eastAsia="Times New Roman" w:hAnsi="Cambria"/>
                <w:sz w:val="20"/>
                <w:szCs w:val="20"/>
                <w:lang w:eastAsia="cs-CZ"/>
              </w:rPr>
            </w:pPr>
            <w:r w:rsidRPr="00444C3E">
              <w:rPr>
                <w:rFonts w:ascii="Cambria" w:eastAsia="Times New Roman" w:hAnsi="Cambria"/>
                <w:sz w:val="20"/>
                <w:szCs w:val="20"/>
                <w:lang w:eastAsia="cs-CZ"/>
              </w:rPr>
              <w:t xml:space="preserve">- </w:t>
            </w:r>
            <w:r w:rsidRPr="00444C3E">
              <w:rPr>
                <w:rFonts w:ascii="Cambria" w:eastAsia="Times New Roman" w:hAnsi="Cambria"/>
                <w:b/>
                <w:sz w:val="20"/>
                <w:szCs w:val="20"/>
                <w:lang w:eastAsia="cs-CZ"/>
              </w:rPr>
              <w:t>popis scénářů s jedním rizikem a s více riziky</w:t>
            </w:r>
            <w:r w:rsidRPr="00444C3E">
              <w:rPr>
                <w:rFonts w:ascii="Cambria" w:eastAsia="Times New Roman" w:hAnsi="Cambria"/>
                <w:sz w:val="20"/>
                <w:szCs w:val="20"/>
                <w:lang w:eastAsia="cs-CZ"/>
              </w:rPr>
              <w:t>;</w:t>
            </w:r>
          </w:p>
        </w:tc>
        <w:tc>
          <w:tcPr>
            <w:tcW w:w="993" w:type="dxa"/>
            <w:shd w:val="clear" w:color="auto" w:fill="EAF1DD" w:themeFill="accent3" w:themeFillTint="33"/>
            <w:tcMar>
              <w:left w:w="28" w:type="dxa"/>
              <w:right w:w="28" w:type="dxa"/>
            </w:tcMar>
          </w:tcPr>
          <w:p w14:paraId="48A5510E" w14:textId="77777777" w:rsidR="009C01D5" w:rsidRDefault="009C01D5" w:rsidP="008165D1">
            <w:pPr>
              <w:pStyle w:val="DAVA"/>
              <w:spacing w:before="60"/>
              <w:jc w:val="center"/>
              <w:rPr>
                <w:rFonts w:ascii="Cambria" w:hAnsi="Cambria"/>
                <w:sz w:val="20"/>
                <w:szCs w:val="20"/>
              </w:rPr>
            </w:pPr>
            <w:r>
              <w:rPr>
                <w:rFonts w:ascii="Cambria" w:hAnsi="Cambria"/>
                <w:sz w:val="20"/>
                <w:szCs w:val="20"/>
              </w:rPr>
              <w:t>ANO</w:t>
            </w:r>
          </w:p>
          <w:p w14:paraId="3C4C8A21" w14:textId="2F140396" w:rsidR="00CF4379" w:rsidRPr="00444C3E" w:rsidRDefault="009C01D5" w:rsidP="008165D1">
            <w:pPr>
              <w:pStyle w:val="DAVA"/>
              <w:spacing w:before="60"/>
              <w:jc w:val="center"/>
              <w:rPr>
                <w:rFonts w:ascii="Cambria" w:hAnsi="Cambria"/>
                <w:sz w:val="20"/>
                <w:szCs w:val="20"/>
              </w:rPr>
            </w:pPr>
            <w:r>
              <w:rPr>
                <w:rFonts w:ascii="Cambria" w:hAnsi="Cambria"/>
                <w:sz w:val="20"/>
                <w:szCs w:val="20"/>
              </w:rPr>
              <w:t>(</w:t>
            </w:r>
            <w:r w:rsidR="00CF4379" w:rsidRPr="00444C3E">
              <w:rPr>
                <w:rFonts w:ascii="Cambria" w:hAnsi="Cambria"/>
                <w:sz w:val="20"/>
                <w:szCs w:val="20"/>
              </w:rPr>
              <w:t>splněno</w:t>
            </w:r>
            <w:r>
              <w:rPr>
                <w:rFonts w:ascii="Cambria" w:hAnsi="Cambria"/>
                <w:sz w:val="20"/>
                <w:szCs w:val="20"/>
              </w:rPr>
              <w:t>)</w:t>
            </w:r>
          </w:p>
        </w:tc>
        <w:tc>
          <w:tcPr>
            <w:tcW w:w="3685" w:type="dxa"/>
            <w:shd w:val="clear" w:color="auto" w:fill="EAF1DD" w:themeFill="accent3" w:themeFillTint="33"/>
            <w:tcMar>
              <w:left w:w="28" w:type="dxa"/>
              <w:right w:w="28" w:type="dxa"/>
            </w:tcMar>
          </w:tcPr>
          <w:p w14:paraId="5F5BEE0D" w14:textId="77777777" w:rsidR="00CF4379" w:rsidRPr="00444C3E" w:rsidRDefault="00D17FC4" w:rsidP="00C84396">
            <w:pPr>
              <w:pStyle w:val="DAVA"/>
              <w:ind w:firstLine="113"/>
              <w:rPr>
                <w:rFonts w:ascii="Cambria" w:hAnsi="Cambria"/>
                <w:sz w:val="20"/>
                <w:szCs w:val="20"/>
              </w:rPr>
            </w:pPr>
            <w:hyperlink r:id="rId28" w:history="1">
              <w:r w:rsidR="00CF4379" w:rsidRPr="00444C3E">
                <w:rPr>
                  <w:rStyle w:val="Hypertextovodkaz"/>
                  <w:rFonts w:ascii="Cambria" w:hAnsi="Cambria"/>
                  <w:sz w:val="20"/>
                  <w:szCs w:val="20"/>
                </w:rPr>
                <w:t>http://portal.chmi.cz/portal/dt?portal_lang=cs&amp;menu=JSPTabContainer/P4_Historicka_data/P4_1_Pocasi/P4_1_10_Zmena_klimatu/P4_1_10_6_Projekt_VaV&amp;last=false</w:t>
              </w:r>
            </w:hyperlink>
          </w:p>
          <w:p w14:paraId="64C84F4C" w14:textId="77777777" w:rsidR="00CF4379" w:rsidRPr="00444C3E" w:rsidRDefault="00CF4379" w:rsidP="007A7AF6">
            <w:pPr>
              <w:pStyle w:val="DAVA"/>
              <w:rPr>
                <w:rFonts w:ascii="Cambria" w:hAnsi="Cambria"/>
                <w:b/>
                <w:sz w:val="20"/>
                <w:szCs w:val="20"/>
              </w:rPr>
            </w:pPr>
          </w:p>
          <w:p w14:paraId="739709FF" w14:textId="77777777" w:rsidR="00CF4379" w:rsidRPr="00444C3E" w:rsidRDefault="00CF4379" w:rsidP="00A73596">
            <w:pPr>
              <w:pStyle w:val="DAVA"/>
              <w:spacing w:before="0"/>
              <w:jc w:val="left"/>
              <w:rPr>
                <w:rFonts w:ascii="Cambria" w:hAnsi="Cambria"/>
                <w:sz w:val="20"/>
                <w:szCs w:val="20"/>
              </w:rPr>
            </w:pPr>
            <w:r w:rsidRPr="00444C3E">
              <w:rPr>
                <w:rFonts w:ascii="Cambria" w:hAnsi="Cambria"/>
                <w:sz w:val="20"/>
                <w:szCs w:val="20"/>
              </w:rPr>
              <w:t xml:space="preserve">Ukázky </w:t>
            </w:r>
            <w:r w:rsidRPr="00444C3E">
              <w:rPr>
                <w:rFonts w:ascii="Cambria" w:hAnsi="Cambria"/>
                <w:b/>
                <w:sz w:val="20"/>
                <w:szCs w:val="20"/>
              </w:rPr>
              <w:t>krizových plánů krajů</w:t>
            </w:r>
            <w:r w:rsidRPr="00444C3E">
              <w:rPr>
                <w:rFonts w:ascii="Cambria" w:hAnsi="Cambria"/>
                <w:sz w:val="20"/>
                <w:szCs w:val="20"/>
              </w:rPr>
              <w:t xml:space="preserve"> např.:</w:t>
            </w:r>
          </w:p>
          <w:p w14:paraId="0467715A" w14:textId="77777777" w:rsidR="00CF4379" w:rsidRPr="00444C3E" w:rsidRDefault="00D17FC4" w:rsidP="00C84396">
            <w:pPr>
              <w:pStyle w:val="DAVA"/>
              <w:spacing w:before="0"/>
              <w:ind w:firstLine="113"/>
              <w:jc w:val="left"/>
              <w:rPr>
                <w:rFonts w:ascii="Cambria" w:hAnsi="Cambria"/>
                <w:sz w:val="20"/>
                <w:szCs w:val="20"/>
              </w:rPr>
            </w:pPr>
            <w:hyperlink r:id="rId29" w:history="1">
              <w:r w:rsidR="00CF4379" w:rsidRPr="00444C3E">
                <w:rPr>
                  <w:rStyle w:val="Hypertextovodkaz"/>
                  <w:rFonts w:ascii="Cambria" w:hAnsi="Cambria"/>
                  <w:sz w:val="20"/>
                  <w:szCs w:val="20"/>
                </w:rPr>
                <w:t>http://www.hzscr.cz/clanek/krizovy-plan-jihoceskeho-kraje.aspx</w:t>
              </w:r>
            </w:hyperlink>
          </w:p>
          <w:p w14:paraId="0F744AF6" w14:textId="77777777" w:rsidR="00CF4379" w:rsidRPr="00444C3E" w:rsidRDefault="00D17FC4" w:rsidP="00C84396">
            <w:pPr>
              <w:autoSpaceDE w:val="0"/>
              <w:autoSpaceDN w:val="0"/>
              <w:adjustRightInd w:val="0"/>
              <w:spacing w:after="0" w:line="240" w:lineRule="auto"/>
              <w:ind w:firstLine="113"/>
              <w:jc w:val="both"/>
              <w:rPr>
                <w:rFonts w:ascii="Cambria" w:eastAsia="Times New Roman" w:hAnsi="Cambria"/>
                <w:sz w:val="20"/>
                <w:szCs w:val="20"/>
                <w:lang w:eastAsia="cs-CZ"/>
              </w:rPr>
            </w:pPr>
            <w:hyperlink r:id="rId30" w:history="1">
              <w:r w:rsidR="00CF4379" w:rsidRPr="00444C3E">
                <w:rPr>
                  <w:rStyle w:val="Hypertextovodkaz"/>
                  <w:rFonts w:ascii="Cambria" w:eastAsia="Times New Roman" w:hAnsi="Cambria"/>
                  <w:sz w:val="20"/>
                  <w:szCs w:val="20"/>
                  <w:lang w:eastAsia="cs-CZ"/>
                </w:rPr>
                <w:t>http://www.hzscr.cz/clanek/dokumenta</w:t>
              </w:r>
              <w:r w:rsidR="00CF4379" w:rsidRPr="00444C3E">
                <w:rPr>
                  <w:rStyle w:val="Hypertextovodkaz"/>
                  <w:rFonts w:ascii="Cambria" w:eastAsia="Times New Roman" w:hAnsi="Cambria"/>
                  <w:sz w:val="20"/>
                  <w:szCs w:val="20"/>
                  <w:lang w:eastAsia="cs-CZ"/>
                </w:rPr>
                <w:lastRenderedPageBreak/>
                <w:t>ce-havarijni-a-krizove-pripravenosti.aspx</w:t>
              </w:r>
            </w:hyperlink>
          </w:p>
          <w:p w14:paraId="7B6C7ADB" w14:textId="77777777" w:rsidR="00CF4379" w:rsidRPr="00444C3E" w:rsidRDefault="00CF4379" w:rsidP="00A73596">
            <w:pPr>
              <w:pStyle w:val="DAVA"/>
              <w:spacing w:before="0"/>
              <w:jc w:val="left"/>
              <w:rPr>
                <w:rFonts w:ascii="Cambria" w:hAnsi="Cambria"/>
                <w:sz w:val="20"/>
                <w:szCs w:val="20"/>
              </w:rPr>
            </w:pPr>
          </w:p>
          <w:p w14:paraId="0BB22C4E" w14:textId="77777777" w:rsidR="00266C9F" w:rsidRPr="00444C3E" w:rsidRDefault="00266C9F" w:rsidP="00266C9F">
            <w:pPr>
              <w:pStyle w:val="DAVA"/>
              <w:spacing w:before="0"/>
              <w:jc w:val="left"/>
              <w:rPr>
                <w:rFonts w:ascii="Cambria" w:hAnsi="Cambria"/>
                <w:sz w:val="20"/>
                <w:szCs w:val="20"/>
              </w:rPr>
            </w:pPr>
            <w:r w:rsidRPr="00444C3E">
              <w:rPr>
                <w:rFonts w:ascii="Cambria" w:hAnsi="Cambria"/>
                <w:sz w:val="20"/>
                <w:szCs w:val="20"/>
              </w:rPr>
              <w:t xml:space="preserve">Ukázky </w:t>
            </w:r>
            <w:r w:rsidRPr="00444C3E">
              <w:rPr>
                <w:rFonts w:ascii="Cambria" w:hAnsi="Cambria"/>
                <w:b/>
                <w:sz w:val="20"/>
                <w:szCs w:val="20"/>
              </w:rPr>
              <w:t xml:space="preserve">krizových plánů obcí s rozšířenou působností </w:t>
            </w:r>
            <w:r w:rsidRPr="00444C3E">
              <w:rPr>
                <w:rFonts w:ascii="Cambria" w:hAnsi="Cambria"/>
                <w:sz w:val="20"/>
                <w:szCs w:val="20"/>
              </w:rPr>
              <w:t>např.:</w:t>
            </w:r>
          </w:p>
          <w:p w14:paraId="4D5A72D8" w14:textId="77777777" w:rsidR="00266C9F" w:rsidRPr="00444C3E" w:rsidRDefault="00D17FC4" w:rsidP="00266C9F">
            <w:pPr>
              <w:pStyle w:val="DAVA"/>
              <w:spacing w:before="0"/>
              <w:ind w:firstLine="113"/>
              <w:jc w:val="left"/>
              <w:rPr>
                <w:rFonts w:ascii="Cambria" w:hAnsi="Cambria"/>
                <w:sz w:val="20"/>
                <w:szCs w:val="20"/>
              </w:rPr>
            </w:pPr>
            <w:hyperlink r:id="rId31" w:history="1">
              <w:r w:rsidR="00266C9F" w:rsidRPr="00444C3E">
                <w:rPr>
                  <w:rStyle w:val="Hypertextovodkaz"/>
                  <w:rFonts w:ascii="Cambria" w:hAnsi="Cambria"/>
                  <w:sz w:val="20"/>
                  <w:szCs w:val="20"/>
                </w:rPr>
                <w:t>http://www.olomouc.eu/obcan/bezpecnost/krizove-rizeni/krizovy-plan</w:t>
              </w:r>
            </w:hyperlink>
          </w:p>
          <w:p w14:paraId="21F49F63" w14:textId="77777777" w:rsidR="00CF4379" w:rsidRPr="00444C3E" w:rsidRDefault="00D17FC4" w:rsidP="00266C9F">
            <w:pPr>
              <w:pStyle w:val="DAVA"/>
              <w:spacing w:before="0"/>
              <w:ind w:firstLine="113"/>
              <w:jc w:val="left"/>
              <w:rPr>
                <w:rFonts w:ascii="Cambria" w:hAnsi="Cambria"/>
                <w:sz w:val="20"/>
                <w:szCs w:val="20"/>
              </w:rPr>
            </w:pPr>
            <w:hyperlink r:id="rId32" w:history="1">
              <w:r w:rsidR="00266C9F" w:rsidRPr="00444C3E">
                <w:rPr>
                  <w:rStyle w:val="Hypertextovodkaz"/>
                  <w:rFonts w:ascii="Cambria" w:hAnsi="Cambria"/>
                  <w:sz w:val="20"/>
                  <w:szCs w:val="20"/>
                </w:rPr>
                <w:t>http://www.c-budejovice.cz/cz/mesto/krizove-rizeni/stranky/krizova-dokumentace-a-plany.aspx</w:t>
              </w:r>
            </w:hyperlink>
          </w:p>
        </w:tc>
        <w:tc>
          <w:tcPr>
            <w:tcW w:w="4678" w:type="dxa"/>
            <w:shd w:val="clear" w:color="auto" w:fill="EAF1DD" w:themeFill="accent3" w:themeFillTint="33"/>
            <w:tcMar>
              <w:left w:w="28" w:type="dxa"/>
              <w:right w:w="28" w:type="dxa"/>
            </w:tcMar>
          </w:tcPr>
          <w:p w14:paraId="4093676A" w14:textId="77777777" w:rsidR="00CF4379" w:rsidRPr="00444C3E" w:rsidRDefault="00CF4379" w:rsidP="007A1D96">
            <w:pPr>
              <w:pStyle w:val="DAVA"/>
              <w:spacing w:before="0" w:after="60"/>
              <w:jc w:val="left"/>
              <w:rPr>
                <w:rFonts w:ascii="Cambria" w:hAnsi="Cambria" w:cs="Arial"/>
                <w:sz w:val="20"/>
                <w:szCs w:val="20"/>
              </w:rPr>
            </w:pPr>
            <w:r w:rsidRPr="00444C3E">
              <w:rPr>
                <w:rFonts w:ascii="Cambria" w:hAnsi="Cambria" w:cs="Arial"/>
                <w:b/>
                <w:sz w:val="20"/>
                <w:szCs w:val="20"/>
                <w:u w:val="single"/>
              </w:rPr>
              <w:lastRenderedPageBreak/>
              <w:t>ČR disponuje dokumenty obsahujícími popisy scénářů, ať už s jedním či s více riziky</w:t>
            </w:r>
            <w:r w:rsidRPr="00444C3E">
              <w:rPr>
                <w:rFonts w:ascii="Cambria" w:hAnsi="Cambria" w:cs="Arial"/>
                <w:b/>
                <w:sz w:val="20"/>
                <w:szCs w:val="20"/>
              </w:rPr>
              <w:t xml:space="preserve"> </w:t>
            </w:r>
            <w:r w:rsidR="007008D1" w:rsidRPr="00444C3E">
              <w:rPr>
                <w:rFonts w:ascii="Cambria" w:hAnsi="Cambria" w:cs="Arial"/>
                <w:sz w:val="20"/>
                <w:szCs w:val="20"/>
              </w:rPr>
              <w:t xml:space="preserve">- </w:t>
            </w:r>
            <w:r w:rsidR="00EB40A0" w:rsidRPr="00444C3E">
              <w:rPr>
                <w:rFonts w:ascii="Cambria" w:hAnsi="Cambria" w:cs="Arial"/>
                <w:sz w:val="20"/>
                <w:szCs w:val="20"/>
              </w:rPr>
              <w:t xml:space="preserve">na celostátní úrovni pro </w:t>
            </w:r>
            <w:r w:rsidR="005113BE" w:rsidRPr="00444C3E">
              <w:rPr>
                <w:rFonts w:ascii="Cambria" w:hAnsi="Cambria" w:cs="Arial"/>
                <w:sz w:val="20"/>
                <w:szCs w:val="20"/>
              </w:rPr>
              <w:t>všechny ústřední správní úřady</w:t>
            </w:r>
            <w:r w:rsidR="007008D1" w:rsidRPr="00444C3E">
              <w:rPr>
                <w:rFonts w:ascii="Cambria" w:hAnsi="Cambria" w:cs="Arial"/>
                <w:sz w:val="20"/>
                <w:szCs w:val="20"/>
              </w:rPr>
              <w:t xml:space="preserve">   </w:t>
            </w:r>
            <w:r w:rsidR="00EB40A0" w:rsidRPr="00444C3E">
              <w:rPr>
                <w:rFonts w:ascii="Cambria" w:hAnsi="Cambria" w:cs="Arial"/>
                <w:sz w:val="20"/>
                <w:szCs w:val="20"/>
              </w:rPr>
              <w:t xml:space="preserve">a na </w:t>
            </w:r>
            <w:r w:rsidR="007008D1" w:rsidRPr="00444C3E">
              <w:rPr>
                <w:rFonts w:ascii="Cambria" w:hAnsi="Cambria" w:cs="Arial"/>
                <w:sz w:val="20"/>
                <w:szCs w:val="20"/>
              </w:rPr>
              <w:t xml:space="preserve">regionální </w:t>
            </w:r>
            <w:r w:rsidR="00EB40A0" w:rsidRPr="00444C3E">
              <w:rPr>
                <w:rFonts w:ascii="Cambria" w:hAnsi="Cambria" w:cs="Arial"/>
                <w:sz w:val="20"/>
                <w:szCs w:val="20"/>
              </w:rPr>
              <w:t>úrovni podle specifických rizik</w:t>
            </w:r>
            <w:r w:rsidR="005113BE" w:rsidRPr="00444C3E">
              <w:rPr>
                <w:rFonts w:ascii="Cambria" w:hAnsi="Cambria" w:cs="Arial"/>
                <w:sz w:val="20"/>
                <w:szCs w:val="20"/>
              </w:rPr>
              <w:t>.</w:t>
            </w:r>
            <w:r w:rsidR="00EB40A0" w:rsidRPr="00444C3E">
              <w:rPr>
                <w:rFonts w:ascii="Cambria" w:hAnsi="Cambria" w:cs="Arial"/>
                <w:sz w:val="20"/>
                <w:szCs w:val="20"/>
              </w:rPr>
              <w:t xml:space="preserve"> </w:t>
            </w:r>
          </w:p>
          <w:p w14:paraId="71F32E2A" w14:textId="77777777" w:rsidR="00CF4379" w:rsidRPr="00444C3E" w:rsidRDefault="00CF4379" w:rsidP="007A1D96">
            <w:pPr>
              <w:pStyle w:val="DAVA"/>
              <w:spacing w:before="0" w:after="60"/>
              <w:jc w:val="left"/>
              <w:rPr>
                <w:rFonts w:ascii="Cambria" w:hAnsi="Cambria"/>
                <w:sz w:val="20"/>
                <w:szCs w:val="20"/>
              </w:rPr>
            </w:pPr>
          </w:p>
          <w:p w14:paraId="193EE73D" w14:textId="77777777" w:rsidR="00CF4379" w:rsidRPr="00444C3E" w:rsidRDefault="00CF4379" w:rsidP="007A1D96">
            <w:pPr>
              <w:pStyle w:val="DAVA"/>
              <w:spacing w:before="0" w:after="60"/>
              <w:jc w:val="left"/>
              <w:rPr>
                <w:rFonts w:ascii="Cambria" w:hAnsi="Cambria"/>
                <w:b/>
                <w:sz w:val="20"/>
                <w:szCs w:val="20"/>
              </w:rPr>
            </w:pPr>
            <w:r w:rsidRPr="00444C3E">
              <w:rPr>
                <w:rFonts w:ascii="Cambria" w:hAnsi="Cambria"/>
                <w:sz w:val="20"/>
                <w:szCs w:val="20"/>
              </w:rPr>
              <w:t xml:space="preserve">V rámci projektu VaV (SP/1a6/108/07) </w:t>
            </w:r>
            <w:r w:rsidRPr="00444C3E">
              <w:rPr>
                <w:rFonts w:ascii="Cambria" w:hAnsi="Cambria"/>
                <w:b/>
                <w:sz w:val="20"/>
                <w:szCs w:val="20"/>
              </w:rPr>
              <w:t>byly</w:t>
            </w:r>
            <w:r w:rsidRPr="00444C3E">
              <w:rPr>
                <w:rFonts w:ascii="Cambria" w:hAnsi="Cambria"/>
                <w:sz w:val="20"/>
                <w:szCs w:val="20"/>
              </w:rPr>
              <w:t xml:space="preserve"> </w:t>
            </w:r>
            <w:r w:rsidRPr="00444C3E">
              <w:rPr>
                <w:rFonts w:ascii="Cambria" w:hAnsi="Cambria"/>
                <w:b/>
                <w:sz w:val="20"/>
                <w:szCs w:val="20"/>
              </w:rPr>
              <w:t>aktualizovány</w:t>
            </w:r>
            <w:r w:rsidRPr="00444C3E">
              <w:rPr>
                <w:rFonts w:ascii="Cambria" w:hAnsi="Cambria"/>
                <w:sz w:val="20"/>
                <w:szCs w:val="20"/>
              </w:rPr>
              <w:t xml:space="preserve"> </w:t>
            </w:r>
            <w:r w:rsidRPr="00444C3E">
              <w:rPr>
                <w:rFonts w:ascii="Cambria" w:hAnsi="Cambria"/>
                <w:b/>
                <w:sz w:val="20"/>
                <w:szCs w:val="20"/>
              </w:rPr>
              <w:t xml:space="preserve">scénáře vývoje klimatu na území ČR v sektorech vodního hospodářství, zemědělství a lesnictví, identifikovány možné dopady změny klimatu a popsána rizika, jež se těchto oblastí </w:t>
            </w:r>
            <w:r w:rsidRPr="00444C3E">
              <w:rPr>
                <w:rFonts w:ascii="Cambria" w:hAnsi="Cambria"/>
                <w:b/>
                <w:sz w:val="20"/>
                <w:szCs w:val="20"/>
              </w:rPr>
              <w:lastRenderedPageBreak/>
              <w:t xml:space="preserve">dotýkají. </w:t>
            </w:r>
          </w:p>
          <w:p w14:paraId="1D39CAE1" w14:textId="77777777" w:rsidR="00CF4379" w:rsidRPr="00444C3E" w:rsidRDefault="00CF4379" w:rsidP="009F40A0">
            <w:pPr>
              <w:pStyle w:val="DAVA"/>
              <w:spacing w:before="0" w:after="60"/>
              <w:jc w:val="left"/>
              <w:rPr>
                <w:rFonts w:ascii="Cambria" w:hAnsi="Cambria"/>
                <w:b/>
                <w:sz w:val="20"/>
                <w:szCs w:val="20"/>
              </w:rPr>
            </w:pPr>
          </w:p>
          <w:p w14:paraId="4D28EAA9" w14:textId="77777777" w:rsidR="00CF4379" w:rsidRPr="00444C3E" w:rsidRDefault="00CF4379" w:rsidP="00614B7C">
            <w:pPr>
              <w:pStyle w:val="DAVA"/>
              <w:jc w:val="left"/>
              <w:rPr>
                <w:rFonts w:ascii="Cambria" w:hAnsi="Cambria"/>
                <w:b/>
                <w:sz w:val="20"/>
                <w:szCs w:val="20"/>
              </w:rPr>
            </w:pPr>
            <w:r w:rsidRPr="00444C3E">
              <w:rPr>
                <w:rFonts w:ascii="Cambria" w:hAnsi="Cambria"/>
                <w:b/>
                <w:sz w:val="20"/>
                <w:szCs w:val="20"/>
              </w:rPr>
              <w:t>Na základě hodnocení rizik v ČR</w:t>
            </w:r>
            <w:r w:rsidRPr="00444C3E">
              <w:rPr>
                <w:rStyle w:val="Znakapoznpodarou"/>
                <w:rFonts w:ascii="Cambria" w:hAnsi="Cambria"/>
                <w:b/>
                <w:sz w:val="20"/>
                <w:szCs w:val="20"/>
              </w:rPr>
              <w:footnoteReference w:id="8"/>
            </w:r>
            <w:r w:rsidRPr="00444C3E">
              <w:rPr>
                <w:rFonts w:ascii="Cambria" w:hAnsi="Cambria"/>
                <w:b/>
                <w:sz w:val="20"/>
                <w:szCs w:val="20"/>
              </w:rPr>
              <w:t xml:space="preserve"> bylo zjištěno, že závažná je převážně kombinace antropogenních a přírodních zdrojů rizika </w:t>
            </w:r>
            <w:r w:rsidRPr="00444C3E">
              <w:rPr>
                <w:rFonts w:ascii="Cambria" w:hAnsi="Cambria"/>
                <w:sz w:val="20"/>
                <w:szCs w:val="20"/>
              </w:rPr>
              <w:t xml:space="preserve">(tedy např. zaplavení podniku s chemickými látkami apod.); </w:t>
            </w:r>
            <w:r w:rsidRPr="00444C3E">
              <w:rPr>
                <w:rFonts w:ascii="Cambria" w:hAnsi="Cambria"/>
                <w:b/>
                <w:sz w:val="20"/>
                <w:szCs w:val="20"/>
              </w:rPr>
              <w:t xml:space="preserve">kombinace 2 nebo více přírodních katastrof je v ČR málo pravděpodobná. </w:t>
            </w:r>
          </w:p>
          <w:p w14:paraId="35BF35D4" w14:textId="77777777" w:rsidR="00CF4379" w:rsidRPr="00444C3E" w:rsidRDefault="00CF4379" w:rsidP="00614B7C">
            <w:pPr>
              <w:pStyle w:val="DAVA"/>
              <w:jc w:val="left"/>
              <w:rPr>
                <w:rFonts w:ascii="Cambria" w:hAnsi="Cambria"/>
                <w:b/>
                <w:sz w:val="20"/>
                <w:szCs w:val="20"/>
              </w:rPr>
            </w:pPr>
          </w:p>
          <w:p w14:paraId="0380D718" w14:textId="77777777" w:rsidR="00CF4379" w:rsidRPr="00444C3E" w:rsidRDefault="00CF4379" w:rsidP="005113BE">
            <w:pPr>
              <w:pStyle w:val="DAVA"/>
              <w:jc w:val="left"/>
              <w:rPr>
                <w:rFonts w:ascii="Cambria" w:hAnsi="Cambria" w:cs="Arial"/>
                <w:sz w:val="20"/>
                <w:szCs w:val="20"/>
              </w:rPr>
            </w:pPr>
            <w:r w:rsidRPr="00444C3E">
              <w:rPr>
                <w:rFonts w:ascii="Cambria" w:hAnsi="Cambria"/>
                <w:b/>
                <w:sz w:val="20"/>
                <w:szCs w:val="20"/>
              </w:rPr>
              <w:t xml:space="preserve">ČR </w:t>
            </w:r>
            <w:r w:rsidRPr="00444C3E">
              <w:rPr>
                <w:rFonts w:ascii="Cambria" w:hAnsi="Cambria" w:cs="Arial"/>
                <w:b/>
                <w:sz w:val="20"/>
                <w:szCs w:val="20"/>
              </w:rPr>
              <w:t xml:space="preserve">disponuje dokumenty týkajícími se posuzování rizik </w:t>
            </w:r>
            <w:r w:rsidRPr="00444C3E">
              <w:rPr>
                <w:rFonts w:ascii="Cambria" w:hAnsi="Cambria"/>
                <w:sz w:val="20"/>
                <w:szCs w:val="20"/>
              </w:rPr>
              <w:t xml:space="preserve">(včetně rizik způsobených přírodními vlivy) </w:t>
            </w:r>
            <w:r w:rsidRPr="00444C3E">
              <w:rPr>
                <w:rFonts w:ascii="Cambria" w:hAnsi="Cambria" w:cs="Arial"/>
                <w:b/>
                <w:sz w:val="20"/>
                <w:szCs w:val="20"/>
              </w:rPr>
              <w:t xml:space="preserve">na </w:t>
            </w:r>
            <w:r w:rsidR="00EB40A0" w:rsidRPr="00444C3E">
              <w:rPr>
                <w:rFonts w:ascii="Cambria" w:hAnsi="Cambria" w:cs="Arial"/>
                <w:b/>
                <w:sz w:val="20"/>
                <w:szCs w:val="20"/>
              </w:rPr>
              <w:t>celostátní úrovni</w:t>
            </w:r>
            <w:r w:rsidR="005C72F0" w:rsidRPr="00444C3E">
              <w:rPr>
                <w:rFonts w:ascii="Cambria" w:hAnsi="Cambria" w:cs="Arial"/>
                <w:b/>
                <w:sz w:val="20"/>
                <w:szCs w:val="20"/>
              </w:rPr>
              <w:t xml:space="preserve"> (</w:t>
            </w:r>
            <w:r w:rsidR="005113BE" w:rsidRPr="00444C3E">
              <w:rPr>
                <w:rFonts w:ascii="Cambria" w:hAnsi="Cambria" w:cs="Arial"/>
                <w:b/>
                <w:sz w:val="20"/>
                <w:szCs w:val="20"/>
              </w:rPr>
              <w:t>krizové plány ústředních správních úřadů</w:t>
            </w:r>
            <w:r w:rsidR="00EB40A0" w:rsidRPr="00444C3E">
              <w:rPr>
                <w:rFonts w:ascii="Cambria" w:hAnsi="Cambria" w:cs="Arial"/>
                <w:b/>
                <w:sz w:val="20"/>
                <w:szCs w:val="20"/>
              </w:rPr>
              <w:t>)</w:t>
            </w:r>
            <w:r w:rsidR="0002766A" w:rsidRPr="00444C3E">
              <w:rPr>
                <w:rFonts w:ascii="Cambria" w:hAnsi="Cambria" w:cs="Arial"/>
                <w:b/>
                <w:sz w:val="20"/>
                <w:szCs w:val="20"/>
              </w:rPr>
              <w:t xml:space="preserve"> </w:t>
            </w:r>
            <w:r w:rsidR="00EB40A0" w:rsidRPr="00444C3E">
              <w:rPr>
                <w:rFonts w:ascii="Cambria" w:hAnsi="Cambria" w:cs="Arial"/>
                <w:b/>
                <w:sz w:val="20"/>
                <w:szCs w:val="20"/>
              </w:rPr>
              <w:t xml:space="preserve">a na </w:t>
            </w:r>
            <w:r w:rsidRPr="00444C3E">
              <w:rPr>
                <w:rFonts w:ascii="Cambria" w:hAnsi="Cambria" w:cs="Arial"/>
                <w:b/>
                <w:sz w:val="20"/>
                <w:szCs w:val="20"/>
              </w:rPr>
              <w:t xml:space="preserve">regionální úrovni </w:t>
            </w:r>
            <w:r w:rsidR="00EB40A0" w:rsidRPr="00444C3E">
              <w:rPr>
                <w:rFonts w:ascii="Cambria" w:hAnsi="Cambria" w:cs="Arial"/>
                <w:b/>
                <w:sz w:val="20"/>
                <w:szCs w:val="20"/>
              </w:rPr>
              <w:t>(</w:t>
            </w:r>
            <w:r w:rsidRPr="00444C3E">
              <w:rPr>
                <w:rFonts w:ascii="Cambria" w:hAnsi="Cambria" w:cs="Arial"/>
                <w:b/>
                <w:sz w:val="20"/>
                <w:szCs w:val="20"/>
              </w:rPr>
              <w:t>krizové plány</w:t>
            </w:r>
            <w:r w:rsidR="009355BF" w:rsidRPr="00444C3E">
              <w:rPr>
                <w:rFonts w:ascii="Cambria" w:hAnsi="Cambria" w:cs="Arial"/>
                <w:b/>
                <w:sz w:val="20"/>
                <w:szCs w:val="20"/>
              </w:rPr>
              <w:t xml:space="preserve"> </w:t>
            </w:r>
            <w:r w:rsidR="00EB40A0" w:rsidRPr="00444C3E">
              <w:rPr>
                <w:rFonts w:ascii="Cambria" w:hAnsi="Cambria" w:cs="Arial"/>
                <w:b/>
                <w:sz w:val="20"/>
                <w:szCs w:val="20"/>
              </w:rPr>
              <w:t>krajů</w:t>
            </w:r>
            <w:r w:rsidR="009355BF" w:rsidRPr="00444C3E">
              <w:rPr>
                <w:rFonts w:ascii="Cambria" w:hAnsi="Cambria" w:cs="Arial"/>
                <w:b/>
                <w:sz w:val="20"/>
                <w:szCs w:val="20"/>
              </w:rPr>
              <w:t xml:space="preserve"> a </w:t>
            </w:r>
            <w:r w:rsidR="009355BF" w:rsidRPr="00444C3E">
              <w:rPr>
                <w:rFonts w:ascii="Cambria" w:hAnsi="Cambria"/>
                <w:b/>
                <w:sz w:val="20"/>
                <w:szCs w:val="20"/>
              </w:rPr>
              <w:t>obcí s rozšířenou působností</w:t>
            </w:r>
            <w:r w:rsidR="00EB40A0" w:rsidRPr="00444C3E">
              <w:rPr>
                <w:rFonts w:ascii="Cambria" w:hAnsi="Cambria" w:cs="Arial"/>
                <w:b/>
                <w:sz w:val="20"/>
                <w:szCs w:val="20"/>
              </w:rPr>
              <w:t>)</w:t>
            </w:r>
            <w:r w:rsidRPr="00444C3E">
              <w:rPr>
                <w:rStyle w:val="Znakapoznpodarou"/>
                <w:rFonts w:ascii="Cambria" w:hAnsi="Cambria" w:cs="Arial"/>
                <w:b/>
                <w:sz w:val="20"/>
                <w:szCs w:val="20"/>
              </w:rPr>
              <w:footnoteReference w:id="9"/>
            </w:r>
            <w:r w:rsidRPr="00444C3E">
              <w:rPr>
                <w:rFonts w:ascii="Cambria" w:hAnsi="Cambria" w:cs="Arial"/>
                <w:b/>
                <w:sz w:val="20"/>
                <w:szCs w:val="20"/>
              </w:rPr>
              <w:t xml:space="preserve">. </w:t>
            </w:r>
            <w:r w:rsidRPr="00444C3E">
              <w:rPr>
                <w:rFonts w:ascii="Cambria" w:hAnsi="Cambria" w:cs="Arial"/>
                <w:sz w:val="20"/>
                <w:szCs w:val="20"/>
              </w:rPr>
              <w:t>Každý kraj i obec s rozšířenou působností má povinnost vytvořit krizový plán, kde jsou zohledňovány pravděpodobné krizové situace, včetně těch, které mají vazbu na změny klimatu (povodně, sucha, sesuvy půdy, přívalové deště, rozsáhlé lesní požáry apod.) zpracovatelem je Hasičský záchranný sbor České republiky. Součástí krizového plánu je přehled možných zdrojů rizik a analýza ohrožení.</w:t>
            </w:r>
            <w:r w:rsidRPr="00444C3E">
              <w:rPr>
                <w:rStyle w:val="Znakapoznpodarou"/>
                <w:rFonts w:ascii="Cambria" w:hAnsi="Cambria" w:cs="Arial"/>
                <w:sz w:val="20"/>
                <w:szCs w:val="20"/>
              </w:rPr>
              <w:footnoteReference w:id="10"/>
            </w:r>
            <w:r w:rsidRPr="00444C3E">
              <w:rPr>
                <w:rFonts w:ascii="Cambria" w:hAnsi="Cambria" w:cs="Arial"/>
                <w:sz w:val="20"/>
                <w:szCs w:val="20"/>
              </w:rPr>
              <w:t xml:space="preserve"> Za </w:t>
            </w:r>
            <w:r w:rsidRPr="00444C3E">
              <w:rPr>
                <w:rFonts w:ascii="Cambria" w:hAnsi="Cambria" w:cs="Arial"/>
                <w:sz w:val="20"/>
                <w:szCs w:val="20"/>
              </w:rPr>
              <w:lastRenderedPageBreak/>
              <w:t xml:space="preserve">účelem zajištění jednotnosti a systematičnosti krizových plánů vypracovalo MV-GŘ HZS ČR </w:t>
            </w:r>
            <w:r w:rsidRPr="00444C3E">
              <w:rPr>
                <w:rFonts w:ascii="Cambria" w:hAnsi="Cambria" w:cs="Arial"/>
                <w:b/>
                <w:sz w:val="20"/>
                <w:szCs w:val="20"/>
              </w:rPr>
              <w:t>Metodiku zpracování krizových plánů</w:t>
            </w:r>
            <w:r w:rsidRPr="00444C3E">
              <w:rPr>
                <w:rFonts w:ascii="Cambria" w:hAnsi="Cambria" w:cs="Arial"/>
                <w:sz w:val="20"/>
                <w:szCs w:val="20"/>
              </w:rPr>
              <w:t xml:space="preserve">, která mj. </w:t>
            </w:r>
            <w:r w:rsidRPr="00444C3E">
              <w:rPr>
                <w:rFonts w:ascii="Cambria" w:hAnsi="Cambria" w:cs="Arial"/>
                <w:bCs/>
                <w:sz w:val="20"/>
                <w:szCs w:val="20"/>
              </w:rPr>
              <w:t xml:space="preserve">popisuje způsob </w:t>
            </w:r>
            <w:r w:rsidRPr="00444C3E">
              <w:rPr>
                <w:rFonts w:ascii="Cambria" w:hAnsi="Cambria" w:cs="Arial"/>
                <w:b/>
                <w:bCs/>
                <w:sz w:val="20"/>
                <w:szCs w:val="20"/>
              </w:rPr>
              <w:t>Rozpracování typových plánů na postupy pro řešení konkrétních druhů hrozících krizových situací identifikovaných v analýze ohrožení.</w:t>
            </w:r>
            <w:r w:rsidRPr="00444C3E">
              <w:rPr>
                <w:rFonts w:ascii="Cambria" w:hAnsi="Cambria" w:cs="Arial"/>
                <w:bCs/>
                <w:sz w:val="20"/>
                <w:szCs w:val="20"/>
              </w:rPr>
              <w:t xml:space="preserve"> T</w:t>
            </w:r>
            <w:r w:rsidRPr="00444C3E">
              <w:rPr>
                <w:rFonts w:ascii="Cambria" w:hAnsi="Cambria" w:cs="Arial"/>
                <w:sz w:val="20"/>
                <w:szCs w:val="20"/>
              </w:rPr>
              <w:t xml:space="preserve">ypové plány jsou plány pro jednotlivé druhy krizových situací s doporučenými typovými postupy, zásadami a opatřeními pro jejich řešení. Krizové plány jsou rozpracovány formou tzv. </w:t>
            </w:r>
            <w:r w:rsidRPr="00444C3E">
              <w:rPr>
                <w:rFonts w:ascii="Cambria" w:hAnsi="Cambria" w:cs="Arial"/>
                <w:bCs/>
                <w:sz w:val="20"/>
                <w:szCs w:val="20"/>
              </w:rPr>
              <w:t>operačních plánů</w:t>
            </w:r>
            <w:r w:rsidRPr="00444C3E">
              <w:rPr>
                <w:rFonts w:ascii="Cambria" w:hAnsi="Cambria" w:cs="Arial"/>
                <w:sz w:val="20"/>
                <w:szCs w:val="20"/>
              </w:rPr>
              <w:t xml:space="preserve">, které obsahují charakteristiku krizové situace, plánovanou činnost subjektů podílejících se na jejím řešení a opatření včetně stanovení odpovědnosti. </w:t>
            </w:r>
          </w:p>
        </w:tc>
      </w:tr>
      <w:tr w:rsidR="00CF4379" w:rsidRPr="006E43D9" w14:paraId="5996B566" w14:textId="77777777" w:rsidTr="008976C7">
        <w:trPr>
          <w:trHeight w:val="248"/>
        </w:trPr>
        <w:tc>
          <w:tcPr>
            <w:tcW w:w="1276" w:type="dxa"/>
            <w:shd w:val="clear" w:color="auto" w:fill="EAF1DD" w:themeFill="accent3" w:themeFillTint="33"/>
            <w:tcMar>
              <w:left w:w="28" w:type="dxa"/>
              <w:right w:w="28" w:type="dxa"/>
            </w:tcMar>
          </w:tcPr>
          <w:p w14:paraId="207F999E" w14:textId="0923694C" w:rsidR="00CF4379" w:rsidRPr="00444C3E" w:rsidRDefault="00CF4379" w:rsidP="008165D1">
            <w:pPr>
              <w:pStyle w:val="DAVA"/>
              <w:spacing w:before="60"/>
              <w:jc w:val="left"/>
              <w:rPr>
                <w:rFonts w:ascii="Cambria" w:hAnsi="Cambria"/>
                <w:sz w:val="20"/>
                <w:szCs w:val="20"/>
              </w:rPr>
            </w:pPr>
          </w:p>
        </w:tc>
        <w:tc>
          <w:tcPr>
            <w:tcW w:w="1174" w:type="dxa"/>
            <w:shd w:val="clear" w:color="auto" w:fill="EAF1DD" w:themeFill="accent3" w:themeFillTint="33"/>
            <w:tcMar>
              <w:left w:w="28" w:type="dxa"/>
              <w:right w:w="28" w:type="dxa"/>
            </w:tcMar>
          </w:tcPr>
          <w:p w14:paraId="5A350B27" w14:textId="77777777" w:rsidR="00CF4379" w:rsidRPr="00444C3E" w:rsidRDefault="00CF4379" w:rsidP="008165D1">
            <w:pPr>
              <w:pStyle w:val="DAVA"/>
              <w:spacing w:before="60"/>
              <w:jc w:val="left"/>
              <w:rPr>
                <w:rFonts w:ascii="Cambria" w:hAnsi="Cambria"/>
                <w:sz w:val="20"/>
                <w:szCs w:val="20"/>
              </w:rPr>
            </w:pPr>
          </w:p>
        </w:tc>
        <w:tc>
          <w:tcPr>
            <w:tcW w:w="1094" w:type="dxa"/>
            <w:shd w:val="clear" w:color="auto" w:fill="EAF1DD" w:themeFill="accent3" w:themeFillTint="33"/>
            <w:tcMar>
              <w:left w:w="28" w:type="dxa"/>
              <w:right w:w="28" w:type="dxa"/>
            </w:tcMar>
          </w:tcPr>
          <w:p w14:paraId="3FF9CAD2" w14:textId="77777777" w:rsidR="00CF4379" w:rsidRPr="00444C3E" w:rsidRDefault="00CF4379" w:rsidP="00CF4379">
            <w:pPr>
              <w:pStyle w:val="DAVA"/>
              <w:spacing w:before="60"/>
              <w:jc w:val="center"/>
              <w:rPr>
                <w:rFonts w:ascii="Cambria" w:hAnsi="Cambria"/>
                <w:i/>
                <w:sz w:val="20"/>
                <w:szCs w:val="20"/>
              </w:rPr>
            </w:pPr>
          </w:p>
        </w:tc>
        <w:tc>
          <w:tcPr>
            <w:tcW w:w="992" w:type="dxa"/>
            <w:shd w:val="clear" w:color="auto" w:fill="EAF1DD" w:themeFill="accent3" w:themeFillTint="33"/>
            <w:tcMar>
              <w:left w:w="28" w:type="dxa"/>
              <w:right w:w="28" w:type="dxa"/>
            </w:tcMar>
          </w:tcPr>
          <w:p w14:paraId="6CE6AECE" w14:textId="77777777" w:rsidR="00CF4379" w:rsidRPr="00444C3E" w:rsidRDefault="00CF4379" w:rsidP="008165D1">
            <w:pPr>
              <w:spacing w:before="60" w:after="0" w:line="240" w:lineRule="auto"/>
              <w:rPr>
                <w:rFonts w:ascii="Cambria" w:eastAsia="Times New Roman" w:hAnsi="Cambria"/>
                <w:sz w:val="20"/>
                <w:szCs w:val="20"/>
                <w:lang w:eastAsia="cs-CZ"/>
              </w:rPr>
            </w:pPr>
            <w:r w:rsidRPr="00444C3E">
              <w:rPr>
                <w:rFonts w:ascii="Cambria" w:eastAsia="Times New Roman" w:hAnsi="Cambria"/>
                <w:sz w:val="20"/>
                <w:szCs w:val="20"/>
                <w:lang w:eastAsia="cs-CZ"/>
              </w:rPr>
              <w:t xml:space="preserve">- případné </w:t>
            </w:r>
            <w:r w:rsidRPr="00444C3E">
              <w:rPr>
                <w:rFonts w:ascii="Cambria" w:eastAsia="Times New Roman" w:hAnsi="Cambria"/>
                <w:b/>
                <w:sz w:val="20"/>
                <w:szCs w:val="20"/>
                <w:lang w:eastAsia="cs-CZ"/>
              </w:rPr>
              <w:t>zohlednění vnitrostátních strategií pro přizpůsobení se změně klimatu</w:t>
            </w:r>
            <w:r w:rsidRPr="00444C3E">
              <w:rPr>
                <w:rFonts w:ascii="Cambria" w:eastAsia="Times New Roman" w:hAnsi="Cambria"/>
                <w:sz w:val="20"/>
                <w:szCs w:val="20"/>
                <w:lang w:eastAsia="cs-CZ"/>
              </w:rPr>
              <w:t>.</w:t>
            </w:r>
          </w:p>
        </w:tc>
        <w:tc>
          <w:tcPr>
            <w:tcW w:w="993" w:type="dxa"/>
            <w:shd w:val="clear" w:color="auto" w:fill="EAF1DD" w:themeFill="accent3" w:themeFillTint="33"/>
            <w:tcMar>
              <w:left w:w="28" w:type="dxa"/>
              <w:right w:w="28" w:type="dxa"/>
            </w:tcMar>
          </w:tcPr>
          <w:p w14:paraId="2DDA6903" w14:textId="7E943755" w:rsidR="009C01D5" w:rsidRDefault="009C01D5" w:rsidP="007E7B3D">
            <w:pPr>
              <w:pStyle w:val="DAVA"/>
              <w:spacing w:before="60"/>
              <w:rPr>
                <w:rFonts w:ascii="Cambria" w:hAnsi="Cambria"/>
                <w:sz w:val="20"/>
                <w:szCs w:val="20"/>
              </w:rPr>
            </w:pPr>
          </w:p>
          <w:p w14:paraId="68CD10D7" w14:textId="6C1D05F9" w:rsidR="00CF4379" w:rsidRPr="00444C3E" w:rsidRDefault="009C01D5" w:rsidP="008165D1">
            <w:pPr>
              <w:pStyle w:val="DAVA"/>
              <w:spacing w:before="60"/>
              <w:jc w:val="center"/>
              <w:rPr>
                <w:rFonts w:ascii="Cambria" w:hAnsi="Cambria"/>
                <w:sz w:val="20"/>
                <w:szCs w:val="20"/>
              </w:rPr>
            </w:pPr>
            <w:r>
              <w:rPr>
                <w:rFonts w:ascii="Cambria" w:hAnsi="Cambria"/>
                <w:sz w:val="20"/>
                <w:szCs w:val="20"/>
              </w:rPr>
              <w:t>(</w:t>
            </w:r>
            <w:r w:rsidR="00CF4379" w:rsidRPr="00444C3E">
              <w:rPr>
                <w:rFonts w:ascii="Cambria" w:hAnsi="Cambria"/>
                <w:sz w:val="20"/>
                <w:szCs w:val="20"/>
              </w:rPr>
              <w:t>částečně</w:t>
            </w:r>
            <w:r>
              <w:rPr>
                <w:rFonts w:ascii="Cambria" w:hAnsi="Cambria"/>
                <w:sz w:val="20"/>
                <w:szCs w:val="20"/>
              </w:rPr>
              <w:t>)</w:t>
            </w:r>
          </w:p>
        </w:tc>
        <w:tc>
          <w:tcPr>
            <w:tcW w:w="3685" w:type="dxa"/>
            <w:shd w:val="clear" w:color="auto" w:fill="EAF1DD" w:themeFill="accent3" w:themeFillTint="33"/>
            <w:tcMar>
              <w:left w:w="28" w:type="dxa"/>
              <w:right w:w="28" w:type="dxa"/>
            </w:tcMar>
          </w:tcPr>
          <w:p w14:paraId="1E0BF9A0" w14:textId="77777777" w:rsidR="00CF4379" w:rsidRPr="00444C3E" w:rsidRDefault="00CF4379" w:rsidP="007A1D96">
            <w:pPr>
              <w:pStyle w:val="DAVA"/>
              <w:spacing w:before="0"/>
              <w:jc w:val="left"/>
              <w:rPr>
                <w:rFonts w:ascii="Cambria" w:hAnsi="Cambria"/>
                <w:sz w:val="20"/>
                <w:szCs w:val="20"/>
              </w:rPr>
            </w:pPr>
          </w:p>
        </w:tc>
        <w:tc>
          <w:tcPr>
            <w:tcW w:w="4678" w:type="dxa"/>
            <w:shd w:val="clear" w:color="auto" w:fill="EAF1DD" w:themeFill="accent3" w:themeFillTint="33"/>
            <w:tcMar>
              <w:left w:w="28" w:type="dxa"/>
              <w:right w:w="28" w:type="dxa"/>
            </w:tcMar>
          </w:tcPr>
          <w:p w14:paraId="4C7429B8" w14:textId="171BBBFB" w:rsidR="00CF4379" w:rsidRPr="00444C3E" w:rsidRDefault="00CF4379" w:rsidP="007A1D96">
            <w:pPr>
              <w:pStyle w:val="DAVA"/>
              <w:spacing w:before="0" w:after="60"/>
              <w:jc w:val="left"/>
              <w:rPr>
                <w:rFonts w:ascii="Cambria" w:hAnsi="Cambria"/>
                <w:b/>
                <w:sz w:val="20"/>
                <w:szCs w:val="20"/>
              </w:rPr>
            </w:pPr>
            <w:r w:rsidRPr="00444C3E">
              <w:rPr>
                <w:rFonts w:ascii="Cambria" w:hAnsi="Cambria"/>
                <w:b/>
                <w:sz w:val="20"/>
                <w:szCs w:val="20"/>
              </w:rPr>
              <w:t xml:space="preserve">Vnitrostátní strategií pro přizpůsobení se změně klimatu je připravovaná </w:t>
            </w:r>
            <w:r w:rsidRPr="00444C3E">
              <w:rPr>
                <w:rFonts w:ascii="Cambria" w:hAnsi="Cambria"/>
                <w:b/>
                <w:sz w:val="20"/>
                <w:szCs w:val="20"/>
                <w:u w:val="single"/>
              </w:rPr>
              <w:t>Strategie přizpůsobení se změně klimatu v podmínkách ČR</w:t>
            </w:r>
            <w:r w:rsidRPr="00444C3E">
              <w:rPr>
                <w:rFonts w:ascii="Cambria" w:hAnsi="Cambria"/>
                <w:sz w:val="20"/>
                <w:szCs w:val="20"/>
              </w:rPr>
              <w:t xml:space="preserve">, současný návrh bude předložen ke schválení po posouzení procesem SEA v </w:t>
            </w:r>
            <w:r w:rsidR="00990585">
              <w:rPr>
                <w:rFonts w:ascii="Cambria" w:hAnsi="Cambria"/>
                <w:sz w:val="20"/>
                <w:szCs w:val="20"/>
              </w:rPr>
              <w:t>září</w:t>
            </w:r>
            <w:r w:rsidR="008976C7" w:rsidRPr="00444C3E">
              <w:rPr>
                <w:rFonts w:ascii="Cambria" w:hAnsi="Cambria"/>
                <w:sz w:val="20"/>
                <w:szCs w:val="20"/>
              </w:rPr>
              <w:t xml:space="preserve"> </w:t>
            </w:r>
            <w:r w:rsidRPr="00444C3E">
              <w:rPr>
                <w:rFonts w:ascii="Cambria" w:hAnsi="Cambria"/>
                <w:sz w:val="20"/>
                <w:szCs w:val="20"/>
              </w:rPr>
              <w:t>2015</w:t>
            </w:r>
            <w:r w:rsidRPr="00444C3E">
              <w:rPr>
                <w:rFonts w:ascii="Cambria" w:hAnsi="Cambria"/>
                <w:b/>
                <w:sz w:val="20"/>
                <w:szCs w:val="20"/>
              </w:rPr>
              <w:t xml:space="preserve">.  </w:t>
            </w:r>
          </w:p>
          <w:p w14:paraId="1F715355" w14:textId="77777777" w:rsidR="00CF4379" w:rsidRPr="00444C3E" w:rsidRDefault="003735DA" w:rsidP="003735DA">
            <w:pPr>
              <w:pStyle w:val="DAVA"/>
              <w:spacing w:before="0" w:after="60"/>
              <w:jc w:val="left"/>
              <w:rPr>
                <w:rFonts w:ascii="Cambria" w:hAnsi="Cambria"/>
                <w:sz w:val="20"/>
                <w:szCs w:val="20"/>
              </w:rPr>
            </w:pPr>
            <w:r w:rsidRPr="00202D58">
              <w:rPr>
                <w:rFonts w:ascii="Cambria" w:hAnsi="Cambria"/>
                <w:b/>
                <w:sz w:val="20"/>
                <w:szCs w:val="20"/>
              </w:rPr>
              <w:t>Principy adaptace na změnu klimatu v souladu s návrhem adaptační strategie jsou zohledněny ve schválené Státní politice životního prostředí. Návrh adaptační strategie je odpovídajícím způsobem zohledňován v připravovaných Plánech pro zvládání povodňových rizik a aktualizovaných Plánech povodí a Koncepci environmentální bezpečnosti.</w:t>
            </w:r>
            <w:r w:rsidRPr="00444C3E">
              <w:rPr>
                <w:rFonts w:ascii="Cambria" w:hAnsi="Cambria"/>
                <w:sz w:val="20"/>
                <w:szCs w:val="20"/>
              </w:rPr>
              <w:t xml:space="preserve"> Případné relevantní změny adaptační strategie (jež mohou být vyvolané procesem SEA nebo MPŘ) budou do Plánů pro zvládání povodňových rizik a Plánů povodí uplatněny v rámci připomínek veřejnosti (do 22.6.2015) a do Koncepce environmentální bezpečnosti před jejím schválením (do 31.12.2015). Adaptační strategie bude po svém schválení uplatněna v odpovídající krizové dokumentaci dotčených resortů do 31.12.2015. </w:t>
            </w:r>
          </w:p>
        </w:tc>
      </w:tr>
    </w:tbl>
    <w:p w14:paraId="48532CB0" w14:textId="2EFB5190" w:rsidR="0059414F" w:rsidRPr="006E43D9" w:rsidRDefault="0059414F" w:rsidP="0059414F">
      <w:pPr>
        <w:pStyle w:val="Styl2"/>
        <w:numPr>
          <w:ilvl w:val="0"/>
          <w:numId w:val="0"/>
        </w:numPr>
        <w:ind w:left="720"/>
        <w:rPr>
          <w:rFonts w:ascii="Calibri" w:hAnsi="Calibri"/>
          <w:i/>
          <w:sz w:val="22"/>
          <w:u w:color="000000"/>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9"/>
        <w:gridCol w:w="2332"/>
        <w:gridCol w:w="5274"/>
        <w:gridCol w:w="2049"/>
        <w:gridCol w:w="2458"/>
      </w:tblGrid>
      <w:tr w:rsidR="0059414F" w:rsidRPr="006E43D9" w14:paraId="3EC3B32A" w14:textId="77777777" w:rsidTr="007D6B49">
        <w:trPr>
          <w:trHeight w:val="431"/>
        </w:trPr>
        <w:tc>
          <w:tcPr>
            <w:tcW w:w="1779" w:type="dxa"/>
            <w:shd w:val="clear" w:color="auto" w:fill="C2D69B" w:themeFill="accent3" w:themeFillTint="99"/>
            <w:vAlign w:val="center"/>
          </w:tcPr>
          <w:p w14:paraId="39E640F1" w14:textId="77777777" w:rsidR="0059414F" w:rsidRPr="00444C3E" w:rsidRDefault="0059414F" w:rsidP="00B1082C">
            <w:pPr>
              <w:pStyle w:val="Default"/>
              <w:keepNext/>
              <w:jc w:val="center"/>
              <w:rPr>
                <w:rFonts w:ascii="Cambria" w:hAnsi="Cambria"/>
                <w:b/>
                <w:bCs/>
                <w:color w:val="auto"/>
                <w:sz w:val="20"/>
                <w:szCs w:val="20"/>
              </w:rPr>
            </w:pPr>
            <w:r w:rsidRPr="00444C3E">
              <w:rPr>
                <w:rFonts w:ascii="Cambria" w:hAnsi="Cambria"/>
                <w:b/>
                <w:bCs/>
                <w:color w:val="auto"/>
                <w:sz w:val="20"/>
                <w:szCs w:val="20"/>
              </w:rPr>
              <w:lastRenderedPageBreak/>
              <w:t>Nesplněná nebo částečně splněná použitelná předběžná podmínka</w:t>
            </w:r>
          </w:p>
        </w:tc>
        <w:tc>
          <w:tcPr>
            <w:tcW w:w="2332" w:type="dxa"/>
            <w:shd w:val="clear" w:color="auto" w:fill="C2D69B" w:themeFill="accent3" w:themeFillTint="99"/>
            <w:vAlign w:val="center"/>
          </w:tcPr>
          <w:p w14:paraId="515631B2" w14:textId="77777777" w:rsidR="0059414F" w:rsidRPr="00444C3E" w:rsidRDefault="0059414F" w:rsidP="00B1082C">
            <w:pPr>
              <w:pStyle w:val="Default"/>
              <w:keepNext/>
              <w:jc w:val="center"/>
              <w:rPr>
                <w:rFonts w:ascii="Cambria" w:hAnsi="Cambria"/>
                <w:b/>
                <w:bCs/>
                <w:color w:val="auto"/>
                <w:sz w:val="20"/>
                <w:szCs w:val="20"/>
              </w:rPr>
            </w:pPr>
            <w:r w:rsidRPr="00444C3E">
              <w:rPr>
                <w:rFonts w:ascii="Cambria" w:hAnsi="Cambria"/>
                <w:b/>
                <w:bCs/>
                <w:color w:val="auto"/>
                <w:sz w:val="20"/>
                <w:szCs w:val="20"/>
              </w:rPr>
              <w:t>Nesplněná kritéria</w:t>
            </w:r>
          </w:p>
        </w:tc>
        <w:tc>
          <w:tcPr>
            <w:tcW w:w="5274" w:type="dxa"/>
            <w:shd w:val="clear" w:color="auto" w:fill="C2D69B" w:themeFill="accent3" w:themeFillTint="99"/>
            <w:vAlign w:val="center"/>
          </w:tcPr>
          <w:p w14:paraId="72BD52D3" w14:textId="77777777" w:rsidR="0059414F" w:rsidRPr="00444C3E" w:rsidRDefault="0059414F" w:rsidP="00B1082C">
            <w:pPr>
              <w:pStyle w:val="Default"/>
              <w:keepNext/>
              <w:jc w:val="center"/>
              <w:rPr>
                <w:rFonts w:ascii="Cambria" w:hAnsi="Cambria"/>
                <w:b/>
                <w:bCs/>
                <w:color w:val="auto"/>
                <w:sz w:val="20"/>
                <w:szCs w:val="20"/>
              </w:rPr>
            </w:pPr>
            <w:r w:rsidRPr="00444C3E">
              <w:rPr>
                <w:rFonts w:ascii="Cambria" w:hAnsi="Cambria"/>
                <w:b/>
                <w:bCs/>
                <w:color w:val="auto"/>
                <w:sz w:val="20"/>
                <w:szCs w:val="20"/>
              </w:rPr>
              <w:t>Opatření, která je nutno přijmout</w:t>
            </w:r>
          </w:p>
        </w:tc>
        <w:tc>
          <w:tcPr>
            <w:tcW w:w="2049" w:type="dxa"/>
            <w:shd w:val="clear" w:color="auto" w:fill="C2D69B" w:themeFill="accent3" w:themeFillTint="99"/>
            <w:vAlign w:val="center"/>
          </w:tcPr>
          <w:p w14:paraId="641F6EB2" w14:textId="77777777" w:rsidR="0059414F" w:rsidRPr="00444C3E" w:rsidRDefault="0059414F" w:rsidP="00B1082C">
            <w:pPr>
              <w:pStyle w:val="Default"/>
              <w:keepNext/>
              <w:jc w:val="center"/>
              <w:rPr>
                <w:rFonts w:ascii="Cambria" w:hAnsi="Cambria"/>
                <w:b/>
                <w:bCs/>
                <w:color w:val="auto"/>
                <w:sz w:val="20"/>
                <w:szCs w:val="20"/>
              </w:rPr>
            </w:pPr>
            <w:r w:rsidRPr="00444C3E">
              <w:rPr>
                <w:rFonts w:ascii="Cambria" w:hAnsi="Cambria"/>
                <w:b/>
                <w:bCs/>
                <w:color w:val="auto"/>
                <w:sz w:val="20"/>
                <w:szCs w:val="20"/>
              </w:rPr>
              <w:t>Termín splnění (datum)</w:t>
            </w:r>
          </w:p>
        </w:tc>
        <w:tc>
          <w:tcPr>
            <w:tcW w:w="2458" w:type="dxa"/>
            <w:shd w:val="clear" w:color="auto" w:fill="C2D69B" w:themeFill="accent3" w:themeFillTint="99"/>
            <w:vAlign w:val="center"/>
          </w:tcPr>
          <w:p w14:paraId="24E6A138" w14:textId="77777777" w:rsidR="0059414F" w:rsidRPr="00444C3E" w:rsidRDefault="0059414F" w:rsidP="00B1082C">
            <w:pPr>
              <w:pStyle w:val="Default"/>
              <w:keepNext/>
              <w:jc w:val="center"/>
              <w:rPr>
                <w:rFonts w:ascii="Cambria" w:hAnsi="Cambria"/>
                <w:b/>
                <w:bCs/>
                <w:color w:val="auto"/>
                <w:sz w:val="20"/>
                <w:szCs w:val="20"/>
              </w:rPr>
            </w:pPr>
            <w:r w:rsidRPr="00444C3E">
              <w:rPr>
                <w:rFonts w:ascii="Cambria" w:hAnsi="Cambria"/>
                <w:b/>
                <w:bCs/>
                <w:color w:val="auto"/>
                <w:sz w:val="20"/>
                <w:szCs w:val="20"/>
              </w:rPr>
              <w:t xml:space="preserve">Orgány zodpovědné za plnění </w:t>
            </w:r>
          </w:p>
        </w:tc>
      </w:tr>
      <w:tr w:rsidR="0059414F" w:rsidRPr="006E43D9" w14:paraId="400A7A75" w14:textId="77777777" w:rsidTr="007D6B49">
        <w:trPr>
          <w:trHeight w:val="424"/>
        </w:trPr>
        <w:tc>
          <w:tcPr>
            <w:tcW w:w="1779" w:type="dxa"/>
            <w:shd w:val="clear" w:color="auto" w:fill="EAF1DD" w:themeFill="accent3" w:themeFillTint="33"/>
            <w:tcMar>
              <w:left w:w="28" w:type="dxa"/>
              <w:right w:w="28" w:type="dxa"/>
            </w:tcMar>
            <w:vAlign w:val="center"/>
          </w:tcPr>
          <w:p w14:paraId="74BD3995" w14:textId="77777777" w:rsidR="0059414F" w:rsidRPr="00444C3E" w:rsidRDefault="0059414F" w:rsidP="00B1082C">
            <w:pPr>
              <w:pStyle w:val="DAVA"/>
              <w:spacing w:before="60"/>
              <w:jc w:val="left"/>
              <w:rPr>
                <w:rFonts w:ascii="Cambria" w:hAnsi="Cambria"/>
                <w:b/>
                <w:sz w:val="20"/>
                <w:szCs w:val="20"/>
              </w:rPr>
            </w:pPr>
            <w:r w:rsidRPr="00444C3E">
              <w:rPr>
                <w:rFonts w:ascii="Cambria" w:hAnsi="Cambria"/>
                <w:sz w:val="20"/>
                <w:szCs w:val="20"/>
              </w:rPr>
              <w:t>TC 5:</w:t>
            </w:r>
            <w:r w:rsidRPr="00444C3E">
              <w:rPr>
                <w:rFonts w:ascii="Cambria" w:hAnsi="Cambria"/>
                <w:b/>
                <w:sz w:val="20"/>
                <w:szCs w:val="20"/>
              </w:rPr>
              <w:t xml:space="preserve"> Podpora přizpůsobení se změně klimatu, předcházení rizikům a řízení rizik</w:t>
            </w:r>
          </w:p>
          <w:p w14:paraId="1A56F57A" w14:textId="77777777" w:rsidR="0059414F" w:rsidRPr="00444C3E" w:rsidRDefault="0059414F" w:rsidP="00B1082C">
            <w:pPr>
              <w:pStyle w:val="DAVA"/>
              <w:spacing w:before="60"/>
              <w:jc w:val="left"/>
              <w:rPr>
                <w:rFonts w:ascii="Cambria" w:hAnsi="Cambria"/>
                <w:sz w:val="20"/>
                <w:szCs w:val="20"/>
              </w:rPr>
            </w:pPr>
          </w:p>
          <w:p w14:paraId="151415D3" w14:textId="77777777" w:rsidR="0059414F" w:rsidRPr="00444C3E" w:rsidRDefault="0059414F" w:rsidP="00B1082C">
            <w:pPr>
              <w:pStyle w:val="DAVA"/>
              <w:spacing w:before="60"/>
              <w:jc w:val="left"/>
              <w:rPr>
                <w:rFonts w:ascii="Cambria" w:hAnsi="Cambria"/>
                <w:sz w:val="20"/>
                <w:szCs w:val="20"/>
              </w:rPr>
            </w:pPr>
            <w:r w:rsidRPr="00444C3E">
              <w:rPr>
                <w:rFonts w:ascii="Cambria" w:hAnsi="Cambria"/>
                <w:sz w:val="20"/>
                <w:szCs w:val="20"/>
              </w:rPr>
              <w:t xml:space="preserve">PP 5.1 (a EZFRV: 4.4) </w:t>
            </w:r>
            <w:r w:rsidRPr="00444C3E">
              <w:rPr>
                <w:rFonts w:ascii="Cambria" w:hAnsi="Cambria"/>
                <w:b/>
                <w:sz w:val="20"/>
                <w:szCs w:val="20"/>
              </w:rPr>
              <w:t>Předcházení riziku a řízení rizika:</w:t>
            </w:r>
            <w:r w:rsidRPr="00444C3E">
              <w:rPr>
                <w:rFonts w:ascii="Cambria" w:hAnsi="Cambria"/>
                <w:sz w:val="20"/>
                <w:szCs w:val="20"/>
              </w:rPr>
              <w:t xml:space="preserve"> </w:t>
            </w:r>
            <w:r w:rsidRPr="00444C3E">
              <w:rPr>
                <w:rFonts w:ascii="Cambria" w:hAnsi="Cambria"/>
                <w:b/>
                <w:sz w:val="20"/>
                <w:szCs w:val="20"/>
              </w:rPr>
              <w:t>Existence vnitrostátního nebo regionálního posuzování rizik pro zvládání katastrof s ohledem na přizpůsobení se změně klimatu</w:t>
            </w:r>
          </w:p>
        </w:tc>
        <w:tc>
          <w:tcPr>
            <w:tcW w:w="2332" w:type="dxa"/>
            <w:shd w:val="clear" w:color="auto" w:fill="EAF1DD" w:themeFill="accent3" w:themeFillTint="33"/>
            <w:tcMar>
              <w:left w:w="28" w:type="dxa"/>
              <w:right w:w="28" w:type="dxa"/>
            </w:tcMar>
            <w:vAlign w:val="center"/>
          </w:tcPr>
          <w:p w14:paraId="3E960496" w14:textId="77777777" w:rsidR="0059414F" w:rsidRPr="00444C3E" w:rsidRDefault="0059414F" w:rsidP="00B1082C">
            <w:pPr>
              <w:pStyle w:val="DAVA"/>
              <w:spacing w:before="60"/>
              <w:jc w:val="left"/>
              <w:rPr>
                <w:rFonts w:ascii="Cambria" w:hAnsi="Cambria"/>
                <w:sz w:val="20"/>
                <w:szCs w:val="20"/>
              </w:rPr>
            </w:pPr>
            <w:r w:rsidRPr="00444C3E">
              <w:rPr>
                <w:rFonts w:ascii="Cambria" w:hAnsi="Cambria"/>
                <w:sz w:val="20"/>
                <w:szCs w:val="20"/>
              </w:rPr>
              <w:t xml:space="preserve">Je zavedeno </w:t>
            </w:r>
            <w:r w:rsidRPr="00444C3E">
              <w:rPr>
                <w:rFonts w:ascii="Cambria" w:hAnsi="Cambria"/>
                <w:b/>
                <w:sz w:val="20"/>
                <w:szCs w:val="20"/>
              </w:rPr>
              <w:t>vnitrostátní nebo regionální posouzení rizik</w:t>
            </w:r>
            <w:r w:rsidRPr="00444C3E">
              <w:rPr>
                <w:rFonts w:ascii="Cambria" w:hAnsi="Cambria"/>
                <w:sz w:val="20"/>
                <w:szCs w:val="20"/>
              </w:rPr>
              <w:t xml:space="preserve"> obsahující tyto prvky:</w:t>
            </w:r>
          </w:p>
        </w:tc>
        <w:tc>
          <w:tcPr>
            <w:tcW w:w="5274" w:type="dxa"/>
            <w:shd w:val="clear" w:color="auto" w:fill="EAF1DD" w:themeFill="accent3" w:themeFillTint="33"/>
            <w:tcMar>
              <w:left w:w="28" w:type="dxa"/>
              <w:right w:w="28" w:type="dxa"/>
            </w:tcMar>
            <w:vAlign w:val="center"/>
          </w:tcPr>
          <w:p w14:paraId="1C3ACC88" w14:textId="77777777" w:rsidR="0059414F" w:rsidRPr="00444C3E" w:rsidRDefault="0059414F" w:rsidP="00B1082C">
            <w:pPr>
              <w:pStyle w:val="DAVA"/>
              <w:spacing w:before="60"/>
              <w:jc w:val="left"/>
              <w:rPr>
                <w:rFonts w:ascii="Cambria" w:hAnsi="Cambria"/>
                <w:sz w:val="20"/>
                <w:szCs w:val="20"/>
              </w:rPr>
            </w:pPr>
            <w:r w:rsidRPr="00444C3E">
              <w:rPr>
                <w:rFonts w:ascii="Cambria" w:hAnsi="Cambria"/>
                <w:sz w:val="20"/>
                <w:szCs w:val="20"/>
              </w:rPr>
              <w:t xml:space="preserve">Schválení </w:t>
            </w:r>
            <w:r w:rsidRPr="00444C3E">
              <w:rPr>
                <w:rFonts w:ascii="Cambria" w:hAnsi="Cambria"/>
                <w:b/>
                <w:sz w:val="20"/>
                <w:szCs w:val="20"/>
              </w:rPr>
              <w:t>plánů pro zvládání povodňových rizik</w:t>
            </w:r>
            <w:r w:rsidRPr="00444C3E">
              <w:rPr>
                <w:rFonts w:ascii="Cambria" w:hAnsi="Cambria"/>
                <w:sz w:val="20"/>
                <w:szCs w:val="20"/>
              </w:rPr>
              <w:t xml:space="preserve"> v souladu se Směrnicí 2007/60/ES o vyhodnocování a zvládání povodňových rizik.</w:t>
            </w:r>
          </w:p>
        </w:tc>
        <w:tc>
          <w:tcPr>
            <w:tcW w:w="2049" w:type="dxa"/>
            <w:shd w:val="clear" w:color="auto" w:fill="EAF1DD" w:themeFill="accent3" w:themeFillTint="33"/>
            <w:tcMar>
              <w:left w:w="28" w:type="dxa"/>
              <w:right w:w="28" w:type="dxa"/>
            </w:tcMar>
            <w:vAlign w:val="center"/>
          </w:tcPr>
          <w:p w14:paraId="16C52F50" w14:textId="77777777" w:rsidR="0059414F" w:rsidRPr="00444C3E" w:rsidRDefault="0059414F" w:rsidP="00B1082C">
            <w:pPr>
              <w:pStyle w:val="DAVA"/>
              <w:spacing w:before="0"/>
              <w:jc w:val="center"/>
              <w:rPr>
                <w:rFonts w:ascii="Cambria" w:hAnsi="Cambria"/>
                <w:sz w:val="20"/>
                <w:szCs w:val="20"/>
              </w:rPr>
            </w:pPr>
            <w:r w:rsidRPr="00444C3E">
              <w:rPr>
                <w:rFonts w:ascii="Cambria" w:hAnsi="Cambria"/>
                <w:sz w:val="20"/>
                <w:szCs w:val="20"/>
              </w:rPr>
              <w:t>Termíny vyplývají ze Směrnic EK.</w:t>
            </w:r>
          </w:p>
          <w:p w14:paraId="25B4C27E" w14:textId="77777777" w:rsidR="0059414F" w:rsidRPr="00444C3E" w:rsidRDefault="0059414F" w:rsidP="00B1082C">
            <w:pPr>
              <w:pStyle w:val="DAVA"/>
              <w:spacing w:before="0"/>
              <w:jc w:val="center"/>
              <w:rPr>
                <w:rFonts w:ascii="Cambria" w:hAnsi="Cambria"/>
                <w:sz w:val="20"/>
                <w:szCs w:val="20"/>
              </w:rPr>
            </w:pPr>
            <w:r w:rsidRPr="00444C3E">
              <w:rPr>
                <w:rFonts w:ascii="Cambria" w:hAnsi="Cambria"/>
                <w:sz w:val="20"/>
                <w:szCs w:val="20"/>
              </w:rPr>
              <w:t xml:space="preserve">V současné době průběžně plněno, konečný termín plnění </w:t>
            </w:r>
            <w:r w:rsidRPr="00444C3E">
              <w:rPr>
                <w:rFonts w:ascii="Cambria" w:hAnsi="Cambria"/>
                <w:b/>
                <w:sz w:val="20"/>
                <w:szCs w:val="20"/>
              </w:rPr>
              <w:t>22. 12. 2015</w:t>
            </w:r>
            <w:r w:rsidRPr="00444C3E">
              <w:rPr>
                <w:rFonts w:ascii="Cambria" w:hAnsi="Cambria"/>
                <w:sz w:val="20"/>
                <w:szCs w:val="20"/>
              </w:rPr>
              <w:t>.</w:t>
            </w:r>
          </w:p>
          <w:p w14:paraId="2296189E" w14:textId="1E0748A7" w:rsidR="0059414F" w:rsidRPr="00444C3E" w:rsidRDefault="0059414F" w:rsidP="00B1082C">
            <w:pPr>
              <w:pStyle w:val="DAVA"/>
              <w:spacing w:before="60"/>
              <w:jc w:val="center"/>
              <w:rPr>
                <w:rFonts w:ascii="Cambria" w:hAnsi="Cambria"/>
                <w:b/>
                <w:sz w:val="20"/>
                <w:szCs w:val="20"/>
              </w:rPr>
            </w:pPr>
          </w:p>
        </w:tc>
        <w:tc>
          <w:tcPr>
            <w:tcW w:w="2458" w:type="dxa"/>
            <w:shd w:val="clear" w:color="auto" w:fill="EAF1DD" w:themeFill="accent3" w:themeFillTint="33"/>
            <w:tcMar>
              <w:left w:w="28" w:type="dxa"/>
              <w:right w:w="28" w:type="dxa"/>
            </w:tcMar>
            <w:vAlign w:val="center"/>
          </w:tcPr>
          <w:p w14:paraId="733B2BC1" w14:textId="77777777" w:rsidR="0059414F" w:rsidRPr="00444C3E" w:rsidRDefault="0059414F" w:rsidP="00B1082C">
            <w:pPr>
              <w:spacing w:before="60" w:after="0" w:line="240" w:lineRule="auto"/>
              <w:rPr>
                <w:rFonts w:ascii="Cambria" w:eastAsia="Times New Roman" w:hAnsi="Cambria"/>
                <w:sz w:val="20"/>
                <w:szCs w:val="20"/>
                <w:lang w:eastAsia="cs-CZ"/>
              </w:rPr>
            </w:pPr>
            <w:r w:rsidRPr="00444C3E">
              <w:rPr>
                <w:rFonts w:ascii="Cambria" w:eastAsia="Times New Roman" w:hAnsi="Cambria"/>
                <w:sz w:val="20"/>
                <w:szCs w:val="20"/>
                <w:lang w:eastAsia="cs-CZ"/>
              </w:rPr>
              <w:t>MŽP</w:t>
            </w:r>
            <w:r w:rsidRPr="00444C3E">
              <w:rPr>
                <w:rFonts w:ascii="Cambria" w:hAnsi="Cambria"/>
                <w:sz w:val="20"/>
                <w:szCs w:val="20"/>
              </w:rPr>
              <w:t xml:space="preserve"> a MZe, schvaluje vláda</w:t>
            </w:r>
          </w:p>
        </w:tc>
      </w:tr>
      <w:tr w:rsidR="0059414F" w:rsidRPr="006E43D9" w14:paraId="6BD3B74C" w14:textId="77777777" w:rsidTr="007D6B49">
        <w:trPr>
          <w:trHeight w:val="416"/>
        </w:trPr>
        <w:tc>
          <w:tcPr>
            <w:tcW w:w="1779" w:type="dxa"/>
            <w:shd w:val="clear" w:color="auto" w:fill="EAF1DD" w:themeFill="accent3" w:themeFillTint="33"/>
            <w:tcMar>
              <w:left w:w="28" w:type="dxa"/>
              <w:right w:w="28" w:type="dxa"/>
            </w:tcMar>
            <w:vAlign w:val="center"/>
          </w:tcPr>
          <w:p w14:paraId="6D08B132" w14:textId="77777777" w:rsidR="0059414F" w:rsidRPr="00444C3E" w:rsidRDefault="0059414F" w:rsidP="00B1082C">
            <w:pPr>
              <w:pStyle w:val="DAVA"/>
              <w:spacing w:before="60"/>
              <w:jc w:val="left"/>
              <w:rPr>
                <w:rFonts w:ascii="Cambria" w:hAnsi="Cambria"/>
                <w:sz w:val="20"/>
                <w:szCs w:val="20"/>
              </w:rPr>
            </w:pPr>
          </w:p>
        </w:tc>
        <w:tc>
          <w:tcPr>
            <w:tcW w:w="2332" w:type="dxa"/>
            <w:shd w:val="clear" w:color="auto" w:fill="EAF1DD" w:themeFill="accent3" w:themeFillTint="33"/>
            <w:tcMar>
              <w:left w:w="28" w:type="dxa"/>
              <w:right w:w="28" w:type="dxa"/>
            </w:tcMar>
            <w:vAlign w:val="center"/>
          </w:tcPr>
          <w:p w14:paraId="0182AB14" w14:textId="77777777" w:rsidR="0059414F" w:rsidRPr="00444C3E" w:rsidRDefault="0059414F" w:rsidP="00B1082C">
            <w:pPr>
              <w:pStyle w:val="DAVA"/>
              <w:spacing w:before="60"/>
              <w:jc w:val="left"/>
              <w:rPr>
                <w:rFonts w:ascii="Cambria" w:hAnsi="Cambria"/>
                <w:sz w:val="20"/>
                <w:szCs w:val="20"/>
              </w:rPr>
            </w:pPr>
          </w:p>
        </w:tc>
        <w:tc>
          <w:tcPr>
            <w:tcW w:w="5274" w:type="dxa"/>
            <w:shd w:val="clear" w:color="auto" w:fill="EAF1DD" w:themeFill="accent3" w:themeFillTint="33"/>
            <w:tcMar>
              <w:left w:w="28" w:type="dxa"/>
              <w:right w:w="28" w:type="dxa"/>
            </w:tcMar>
            <w:vAlign w:val="center"/>
          </w:tcPr>
          <w:p w14:paraId="0CE9BE90" w14:textId="1298CCB3" w:rsidR="0059414F" w:rsidRPr="00444C3E" w:rsidRDefault="0059414F" w:rsidP="00B1082C">
            <w:pPr>
              <w:pStyle w:val="DAVA"/>
              <w:jc w:val="left"/>
              <w:rPr>
                <w:rFonts w:ascii="Cambria" w:hAnsi="Cambria"/>
                <w:sz w:val="20"/>
                <w:szCs w:val="20"/>
              </w:rPr>
            </w:pPr>
            <w:r w:rsidRPr="00444C3E">
              <w:rPr>
                <w:rFonts w:ascii="Cambria" w:hAnsi="Cambria"/>
                <w:sz w:val="20"/>
                <w:szCs w:val="20"/>
              </w:rPr>
              <w:t xml:space="preserve">Schválení aktualizovaných </w:t>
            </w:r>
            <w:r w:rsidRPr="00444C3E">
              <w:rPr>
                <w:rFonts w:ascii="Cambria" w:hAnsi="Cambria"/>
                <w:b/>
                <w:sz w:val="20"/>
                <w:szCs w:val="20"/>
              </w:rPr>
              <w:t>plánů povodí</w:t>
            </w:r>
            <w:r w:rsidRPr="00444C3E">
              <w:rPr>
                <w:rFonts w:ascii="Cambria" w:hAnsi="Cambria"/>
                <w:sz w:val="20"/>
                <w:szCs w:val="20"/>
              </w:rPr>
              <w:t xml:space="preserve"> v souladu s Rámcovou směrnicí o vodách 200</w:t>
            </w:r>
            <w:r w:rsidR="00202D58">
              <w:rPr>
                <w:rFonts w:ascii="Cambria" w:hAnsi="Cambria"/>
                <w:sz w:val="20"/>
                <w:szCs w:val="20"/>
              </w:rPr>
              <w:t>0</w:t>
            </w:r>
            <w:r w:rsidRPr="00444C3E">
              <w:rPr>
                <w:rFonts w:ascii="Cambria" w:hAnsi="Cambria"/>
                <w:sz w:val="20"/>
                <w:szCs w:val="20"/>
              </w:rPr>
              <w:t>/60/ES.</w:t>
            </w:r>
          </w:p>
          <w:p w14:paraId="7E4058CD" w14:textId="77777777" w:rsidR="0059414F" w:rsidRPr="00444C3E" w:rsidRDefault="0059414F" w:rsidP="00B1082C">
            <w:pPr>
              <w:pStyle w:val="DAVA"/>
              <w:spacing w:before="60"/>
              <w:jc w:val="left"/>
              <w:rPr>
                <w:rFonts w:ascii="Cambria" w:hAnsi="Cambria"/>
                <w:sz w:val="20"/>
                <w:szCs w:val="20"/>
              </w:rPr>
            </w:pPr>
          </w:p>
        </w:tc>
        <w:tc>
          <w:tcPr>
            <w:tcW w:w="2049" w:type="dxa"/>
            <w:shd w:val="clear" w:color="auto" w:fill="EAF1DD" w:themeFill="accent3" w:themeFillTint="33"/>
            <w:tcMar>
              <w:left w:w="28" w:type="dxa"/>
              <w:right w:w="28" w:type="dxa"/>
            </w:tcMar>
            <w:vAlign w:val="center"/>
          </w:tcPr>
          <w:p w14:paraId="059BA88D" w14:textId="77777777" w:rsidR="0059414F" w:rsidRPr="00444C3E" w:rsidRDefault="0059414F" w:rsidP="00B1082C">
            <w:pPr>
              <w:pStyle w:val="DAVA"/>
              <w:spacing w:before="0"/>
              <w:jc w:val="center"/>
              <w:rPr>
                <w:rFonts w:ascii="Cambria" w:hAnsi="Cambria"/>
                <w:sz w:val="20"/>
                <w:szCs w:val="20"/>
              </w:rPr>
            </w:pPr>
            <w:r w:rsidRPr="00444C3E">
              <w:rPr>
                <w:rFonts w:ascii="Cambria" w:hAnsi="Cambria"/>
                <w:sz w:val="20"/>
                <w:szCs w:val="20"/>
              </w:rPr>
              <w:t>Termíny vyplývají ze Směrnic EK.</w:t>
            </w:r>
          </w:p>
          <w:p w14:paraId="3F9DCC84" w14:textId="77777777" w:rsidR="0059414F" w:rsidRPr="00444C3E" w:rsidRDefault="0059414F" w:rsidP="00B1082C">
            <w:pPr>
              <w:pStyle w:val="DAVA"/>
              <w:spacing w:before="0"/>
              <w:jc w:val="center"/>
              <w:rPr>
                <w:rFonts w:ascii="Cambria" w:hAnsi="Cambria"/>
                <w:sz w:val="20"/>
                <w:szCs w:val="20"/>
              </w:rPr>
            </w:pPr>
            <w:r w:rsidRPr="00444C3E">
              <w:rPr>
                <w:rFonts w:ascii="Cambria" w:hAnsi="Cambria"/>
                <w:sz w:val="20"/>
                <w:szCs w:val="20"/>
              </w:rPr>
              <w:t xml:space="preserve">V současné době průběžně plněno, konečný termín plnění </w:t>
            </w:r>
            <w:r w:rsidRPr="00444C3E">
              <w:rPr>
                <w:rFonts w:ascii="Cambria" w:hAnsi="Cambria"/>
                <w:b/>
                <w:sz w:val="20"/>
                <w:szCs w:val="20"/>
              </w:rPr>
              <w:t>22. 12. 2015</w:t>
            </w:r>
            <w:r w:rsidRPr="00444C3E">
              <w:rPr>
                <w:rFonts w:ascii="Cambria" w:hAnsi="Cambria"/>
                <w:sz w:val="20"/>
                <w:szCs w:val="20"/>
              </w:rPr>
              <w:t>.</w:t>
            </w:r>
          </w:p>
          <w:p w14:paraId="23BBACA3" w14:textId="187AF88D" w:rsidR="0059414F" w:rsidRPr="00444C3E" w:rsidRDefault="0059414F" w:rsidP="00B1082C">
            <w:pPr>
              <w:pStyle w:val="DAVA"/>
              <w:spacing w:before="60"/>
              <w:jc w:val="center"/>
              <w:rPr>
                <w:rFonts w:ascii="Cambria" w:hAnsi="Cambria"/>
                <w:b/>
                <w:sz w:val="20"/>
                <w:szCs w:val="20"/>
              </w:rPr>
            </w:pPr>
          </w:p>
        </w:tc>
        <w:tc>
          <w:tcPr>
            <w:tcW w:w="2458" w:type="dxa"/>
            <w:shd w:val="clear" w:color="auto" w:fill="EAF1DD" w:themeFill="accent3" w:themeFillTint="33"/>
            <w:tcMar>
              <w:left w:w="28" w:type="dxa"/>
              <w:right w:w="28" w:type="dxa"/>
            </w:tcMar>
            <w:vAlign w:val="center"/>
          </w:tcPr>
          <w:p w14:paraId="71DAA408" w14:textId="77777777" w:rsidR="0059414F" w:rsidRPr="00444C3E" w:rsidRDefault="0059414F" w:rsidP="00B1082C">
            <w:pPr>
              <w:pStyle w:val="DAVA"/>
              <w:spacing w:before="60"/>
              <w:jc w:val="left"/>
              <w:rPr>
                <w:rFonts w:ascii="Cambria" w:hAnsi="Cambria"/>
                <w:sz w:val="20"/>
                <w:szCs w:val="20"/>
              </w:rPr>
            </w:pPr>
            <w:r w:rsidRPr="00444C3E">
              <w:rPr>
                <w:rFonts w:ascii="Cambria" w:hAnsi="Cambria"/>
                <w:sz w:val="20"/>
                <w:szCs w:val="20"/>
              </w:rPr>
              <w:t>MŽP a MZe, schvaluje vláda</w:t>
            </w:r>
          </w:p>
        </w:tc>
      </w:tr>
      <w:tr w:rsidR="0059414F" w:rsidRPr="006E43D9" w14:paraId="1B5AB0C3" w14:textId="77777777" w:rsidTr="007D6B49">
        <w:trPr>
          <w:trHeight w:val="416"/>
        </w:trPr>
        <w:tc>
          <w:tcPr>
            <w:tcW w:w="1779" w:type="dxa"/>
            <w:tcBorders>
              <w:bottom w:val="single" w:sz="4" w:space="0" w:color="auto"/>
            </w:tcBorders>
            <w:shd w:val="clear" w:color="auto" w:fill="EAF1DD" w:themeFill="accent3" w:themeFillTint="33"/>
            <w:tcMar>
              <w:left w:w="28" w:type="dxa"/>
              <w:right w:w="28" w:type="dxa"/>
            </w:tcMar>
            <w:vAlign w:val="center"/>
          </w:tcPr>
          <w:p w14:paraId="342BCA22" w14:textId="77777777" w:rsidR="0059414F" w:rsidRPr="00444C3E" w:rsidRDefault="0059414F" w:rsidP="00B1082C">
            <w:pPr>
              <w:pStyle w:val="DAVA"/>
              <w:spacing w:before="60"/>
              <w:jc w:val="left"/>
              <w:rPr>
                <w:rFonts w:ascii="Cambria" w:hAnsi="Cambria"/>
                <w:sz w:val="20"/>
                <w:szCs w:val="20"/>
              </w:rPr>
            </w:pPr>
          </w:p>
        </w:tc>
        <w:tc>
          <w:tcPr>
            <w:tcW w:w="2332" w:type="dxa"/>
            <w:tcBorders>
              <w:bottom w:val="single" w:sz="4" w:space="0" w:color="auto"/>
            </w:tcBorders>
            <w:shd w:val="clear" w:color="auto" w:fill="EAF1DD" w:themeFill="accent3" w:themeFillTint="33"/>
            <w:tcMar>
              <w:left w:w="28" w:type="dxa"/>
              <w:right w:w="28" w:type="dxa"/>
            </w:tcMar>
            <w:vAlign w:val="center"/>
          </w:tcPr>
          <w:p w14:paraId="0EF64702" w14:textId="77777777" w:rsidR="0059414F" w:rsidRPr="00444C3E" w:rsidRDefault="0059414F" w:rsidP="00B1082C">
            <w:pPr>
              <w:pStyle w:val="DAVA"/>
              <w:spacing w:before="60"/>
              <w:jc w:val="left"/>
              <w:rPr>
                <w:rFonts w:ascii="Cambria" w:hAnsi="Cambria"/>
                <w:sz w:val="20"/>
                <w:szCs w:val="20"/>
              </w:rPr>
            </w:pPr>
          </w:p>
        </w:tc>
        <w:tc>
          <w:tcPr>
            <w:tcW w:w="5274" w:type="dxa"/>
            <w:tcBorders>
              <w:bottom w:val="single" w:sz="4" w:space="0" w:color="auto"/>
            </w:tcBorders>
            <w:shd w:val="clear" w:color="auto" w:fill="EAF1DD" w:themeFill="accent3" w:themeFillTint="33"/>
            <w:tcMar>
              <w:left w:w="28" w:type="dxa"/>
              <w:right w:w="28" w:type="dxa"/>
            </w:tcMar>
            <w:vAlign w:val="center"/>
          </w:tcPr>
          <w:p w14:paraId="190EC43D" w14:textId="77777777" w:rsidR="0059414F" w:rsidRPr="00444C3E" w:rsidRDefault="0059414F" w:rsidP="00B1082C">
            <w:pPr>
              <w:pStyle w:val="DAVA"/>
              <w:spacing w:before="60"/>
              <w:jc w:val="left"/>
              <w:rPr>
                <w:rFonts w:ascii="Cambria" w:hAnsi="Cambria"/>
                <w:sz w:val="20"/>
                <w:szCs w:val="20"/>
              </w:rPr>
            </w:pPr>
            <w:r w:rsidRPr="00444C3E">
              <w:rPr>
                <w:rFonts w:ascii="Cambria" w:hAnsi="Cambria"/>
                <w:sz w:val="20"/>
                <w:szCs w:val="20"/>
              </w:rPr>
              <w:t xml:space="preserve">Schválení </w:t>
            </w:r>
            <w:r w:rsidRPr="00444C3E">
              <w:rPr>
                <w:rFonts w:ascii="Cambria" w:hAnsi="Cambria"/>
                <w:b/>
                <w:sz w:val="20"/>
                <w:szCs w:val="20"/>
              </w:rPr>
              <w:t>Koncepce environmentální bezpečnosti 2015-2020 s výhledem do roku 2030</w:t>
            </w:r>
            <w:r w:rsidRPr="00444C3E">
              <w:rPr>
                <w:rFonts w:ascii="Cambria" w:hAnsi="Cambria"/>
                <w:sz w:val="20"/>
                <w:szCs w:val="20"/>
              </w:rPr>
              <w:t xml:space="preserve"> </w:t>
            </w:r>
          </w:p>
        </w:tc>
        <w:tc>
          <w:tcPr>
            <w:tcW w:w="2049" w:type="dxa"/>
            <w:tcBorders>
              <w:bottom w:val="single" w:sz="4" w:space="0" w:color="auto"/>
            </w:tcBorders>
            <w:shd w:val="clear" w:color="auto" w:fill="EAF1DD" w:themeFill="accent3" w:themeFillTint="33"/>
            <w:tcMar>
              <w:left w:w="28" w:type="dxa"/>
              <w:right w:w="28" w:type="dxa"/>
            </w:tcMar>
            <w:vAlign w:val="center"/>
          </w:tcPr>
          <w:p w14:paraId="668B0796" w14:textId="77777777" w:rsidR="0059414F" w:rsidRPr="00444C3E" w:rsidRDefault="0059414F" w:rsidP="00B1082C">
            <w:pPr>
              <w:pStyle w:val="DAVA"/>
              <w:spacing w:before="60"/>
              <w:jc w:val="center"/>
              <w:rPr>
                <w:rFonts w:ascii="Cambria" w:hAnsi="Cambria"/>
                <w:b/>
                <w:sz w:val="20"/>
                <w:szCs w:val="20"/>
              </w:rPr>
            </w:pPr>
            <w:r w:rsidRPr="00444C3E">
              <w:rPr>
                <w:rFonts w:ascii="Cambria" w:hAnsi="Cambria"/>
                <w:b/>
                <w:sz w:val="20"/>
                <w:szCs w:val="20"/>
              </w:rPr>
              <w:t>XII 2015</w:t>
            </w:r>
          </w:p>
        </w:tc>
        <w:tc>
          <w:tcPr>
            <w:tcW w:w="2458" w:type="dxa"/>
            <w:tcBorders>
              <w:bottom w:val="single" w:sz="4" w:space="0" w:color="auto"/>
            </w:tcBorders>
            <w:shd w:val="clear" w:color="auto" w:fill="EAF1DD" w:themeFill="accent3" w:themeFillTint="33"/>
            <w:tcMar>
              <w:left w:w="28" w:type="dxa"/>
              <w:right w:w="28" w:type="dxa"/>
            </w:tcMar>
            <w:vAlign w:val="center"/>
          </w:tcPr>
          <w:p w14:paraId="7EAF04DE" w14:textId="77777777" w:rsidR="0059414F" w:rsidRPr="00444C3E" w:rsidRDefault="0059414F" w:rsidP="00B1082C">
            <w:pPr>
              <w:pStyle w:val="DAVA"/>
              <w:spacing w:before="60"/>
              <w:jc w:val="left"/>
              <w:rPr>
                <w:rFonts w:ascii="Cambria" w:hAnsi="Cambria"/>
                <w:sz w:val="20"/>
                <w:szCs w:val="20"/>
              </w:rPr>
            </w:pPr>
            <w:r w:rsidRPr="00444C3E">
              <w:rPr>
                <w:rFonts w:ascii="Cambria" w:hAnsi="Cambria"/>
                <w:sz w:val="20"/>
                <w:szCs w:val="20"/>
              </w:rPr>
              <w:t>MŽP, schvaluje vláda</w:t>
            </w:r>
          </w:p>
        </w:tc>
      </w:tr>
      <w:tr w:rsidR="0059414F" w:rsidRPr="006E43D9" w14:paraId="12DCB109" w14:textId="77777777" w:rsidTr="007D6B49">
        <w:trPr>
          <w:trHeight w:val="416"/>
        </w:trPr>
        <w:tc>
          <w:tcPr>
            <w:tcW w:w="1779" w:type="dxa"/>
            <w:tcBorders>
              <w:bottom w:val="nil"/>
            </w:tcBorders>
            <w:shd w:val="clear" w:color="auto" w:fill="EAF1DD" w:themeFill="accent3" w:themeFillTint="33"/>
            <w:tcMar>
              <w:left w:w="28" w:type="dxa"/>
              <w:right w:w="28" w:type="dxa"/>
            </w:tcMar>
            <w:vAlign w:val="center"/>
          </w:tcPr>
          <w:p w14:paraId="013BE2EA" w14:textId="77777777" w:rsidR="0059414F" w:rsidRPr="00444C3E" w:rsidRDefault="0059414F" w:rsidP="00B1082C">
            <w:pPr>
              <w:pStyle w:val="DAVA"/>
              <w:spacing w:before="60"/>
              <w:jc w:val="left"/>
              <w:rPr>
                <w:rFonts w:ascii="Cambria" w:hAnsi="Cambria"/>
                <w:sz w:val="20"/>
                <w:szCs w:val="20"/>
              </w:rPr>
            </w:pPr>
          </w:p>
        </w:tc>
        <w:tc>
          <w:tcPr>
            <w:tcW w:w="2332" w:type="dxa"/>
            <w:tcBorders>
              <w:bottom w:val="nil"/>
            </w:tcBorders>
            <w:shd w:val="clear" w:color="auto" w:fill="EAF1DD" w:themeFill="accent3" w:themeFillTint="33"/>
            <w:tcMar>
              <w:left w:w="28" w:type="dxa"/>
              <w:right w:w="28" w:type="dxa"/>
            </w:tcMar>
            <w:vAlign w:val="center"/>
          </w:tcPr>
          <w:p w14:paraId="717CD5B7" w14:textId="77777777" w:rsidR="0059414F" w:rsidRPr="00444C3E" w:rsidRDefault="0059414F" w:rsidP="00B1082C">
            <w:pPr>
              <w:pStyle w:val="DAVA"/>
              <w:spacing w:before="60"/>
              <w:jc w:val="left"/>
              <w:rPr>
                <w:rFonts w:ascii="Cambria" w:hAnsi="Cambria"/>
                <w:sz w:val="20"/>
                <w:szCs w:val="20"/>
              </w:rPr>
            </w:pPr>
          </w:p>
        </w:tc>
        <w:tc>
          <w:tcPr>
            <w:tcW w:w="5274" w:type="dxa"/>
            <w:tcBorders>
              <w:bottom w:val="nil"/>
            </w:tcBorders>
            <w:shd w:val="clear" w:color="auto" w:fill="EAF1DD" w:themeFill="accent3" w:themeFillTint="33"/>
            <w:tcMar>
              <w:left w:w="28" w:type="dxa"/>
              <w:right w:w="28" w:type="dxa"/>
            </w:tcMar>
            <w:vAlign w:val="center"/>
          </w:tcPr>
          <w:p w14:paraId="5D1FBBD9" w14:textId="77777777" w:rsidR="0059414F" w:rsidRPr="00444C3E" w:rsidRDefault="0059414F" w:rsidP="00B1082C">
            <w:pPr>
              <w:pStyle w:val="DAVA"/>
              <w:spacing w:before="0"/>
              <w:jc w:val="left"/>
              <w:rPr>
                <w:rFonts w:ascii="Cambria" w:hAnsi="Cambria"/>
                <w:sz w:val="20"/>
                <w:szCs w:val="20"/>
              </w:rPr>
            </w:pPr>
            <w:r w:rsidRPr="00444C3E">
              <w:rPr>
                <w:rFonts w:ascii="Cambria" w:hAnsi="Cambria"/>
                <w:sz w:val="20"/>
                <w:szCs w:val="20"/>
              </w:rPr>
              <w:t xml:space="preserve">Schválení </w:t>
            </w:r>
            <w:r w:rsidRPr="00444C3E">
              <w:rPr>
                <w:rFonts w:ascii="Cambria" w:hAnsi="Cambria"/>
                <w:b/>
                <w:sz w:val="20"/>
                <w:szCs w:val="20"/>
              </w:rPr>
              <w:t>Strategie přizpůsobení se změně klimatu v podmínkách ČR (dále adaptační strategie)</w:t>
            </w:r>
            <w:r w:rsidRPr="00444C3E">
              <w:rPr>
                <w:rFonts w:ascii="Cambria" w:hAnsi="Cambria"/>
                <w:sz w:val="20"/>
                <w:szCs w:val="20"/>
              </w:rPr>
              <w:t>, kterému předcházejí tyto dílčí kroky:</w:t>
            </w:r>
          </w:p>
        </w:tc>
        <w:tc>
          <w:tcPr>
            <w:tcW w:w="2049" w:type="dxa"/>
            <w:tcBorders>
              <w:bottom w:val="nil"/>
            </w:tcBorders>
            <w:shd w:val="clear" w:color="auto" w:fill="EAF1DD" w:themeFill="accent3" w:themeFillTint="33"/>
            <w:tcMar>
              <w:left w:w="28" w:type="dxa"/>
              <w:right w:w="28" w:type="dxa"/>
            </w:tcMar>
            <w:vAlign w:val="center"/>
          </w:tcPr>
          <w:p w14:paraId="25766E7E" w14:textId="409DF072" w:rsidR="0059414F" w:rsidRPr="00444C3E" w:rsidRDefault="0059414F" w:rsidP="0059414F">
            <w:pPr>
              <w:pStyle w:val="DAVA"/>
              <w:spacing w:before="60"/>
              <w:jc w:val="center"/>
              <w:rPr>
                <w:rFonts w:ascii="Cambria" w:hAnsi="Cambria"/>
                <w:b/>
                <w:sz w:val="20"/>
                <w:szCs w:val="20"/>
              </w:rPr>
            </w:pPr>
            <w:r>
              <w:rPr>
                <w:rFonts w:ascii="Cambria" w:hAnsi="Cambria"/>
                <w:b/>
                <w:sz w:val="20"/>
                <w:szCs w:val="20"/>
              </w:rPr>
              <w:t xml:space="preserve"> </w:t>
            </w:r>
            <w:r w:rsidR="00990585">
              <w:rPr>
                <w:rFonts w:ascii="Cambria" w:hAnsi="Cambria"/>
                <w:b/>
                <w:sz w:val="20"/>
                <w:szCs w:val="20"/>
              </w:rPr>
              <w:t>IX-</w:t>
            </w:r>
            <w:r>
              <w:rPr>
                <w:rFonts w:ascii="Cambria" w:hAnsi="Cambria"/>
                <w:b/>
                <w:sz w:val="20"/>
                <w:szCs w:val="20"/>
              </w:rPr>
              <w:t xml:space="preserve">X </w:t>
            </w:r>
            <w:r w:rsidRPr="00444C3E">
              <w:rPr>
                <w:rFonts w:ascii="Cambria" w:hAnsi="Cambria"/>
                <w:b/>
                <w:sz w:val="20"/>
                <w:szCs w:val="20"/>
              </w:rPr>
              <w:t>2015</w:t>
            </w:r>
          </w:p>
        </w:tc>
        <w:tc>
          <w:tcPr>
            <w:tcW w:w="2458" w:type="dxa"/>
            <w:tcBorders>
              <w:bottom w:val="nil"/>
            </w:tcBorders>
            <w:shd w:val="clear" w:color="auto" w:fill="EAF1DD" w:themeFill="accent3" w:themeFillTint="33"/>
            <w:tcMar>
              <w:left w:w="28" w:type="dxa"/>
              <w:right w:w="28" w:type="dxa"/>
            </w:tcMar>
            <w:vAlign w:val="center"/>
          </w:tcPr>
          <w:p w14:paraId="4B799883" w14:textId="77777777" w:rsidR="0059414F" w:rsidRPr="00444C3E" w:rsidRDefault="0059414F" w:rsidP="00B1082C">
            <w:pPr>
              <w:pStyle w:val="DAVA"/>
              <w:spacing w:before="60"/>
              <w:jc w:val="left"/>
              <w:rPr>
                <w:rFonts w:ascii="Cambria" w:hAnsi="Cambria"/>
                <w:sz w:val="20"/>
                <w:szCs w:val="20"/>
              </w:rPr>
            </w:pPr>
            <w:r w:rsidRPr="00444C3E">
              <w:rPr>
                <w:rFonts w:ascii="Cambria" w:hAnsi="Cambria"/>
                <w:sz w:val="20"/>
                <w:szCs w:val="20"/>
              </w:rPr>
              <w:t>Koordinuje a předkládá MŽP, schvaluje vláda.</w:t>
            </w:r>
          </w:p>
        </w:tc>
      </w:tr>
      <w:tr w:rsidR="0059414F" w:rsidRPr="006E43D9" w14:paraId="52B7E90B" w14:textId="77777777" w:rsidTr="007D6B49">
        <w:trPr>
          <w:trHeight w:val="416"/>
        </w:trPr>
        <w:tc>
          <w:tcPr>
            <w:tcW w:w="1779" w:type="dxa"/>
            <w:tcBorders>
              <w:top w:val="nil"/>
              <w:bottom w:val="nil"/>
            </w:tcBorders>
            <w:shd w:val="clear" w:color="auto" w:fill="EAF1DD" w:themeFill="accent3" w:themeFillTint="33"/>
            <w:tcMar>
              <w:left w:w="28" w:type="dxa"/>
              <w:right w:w="28" w:type="dxa"/>
            </w:tcMar>
            <w:vAlign w:val="center"/>
          </w:tcPr>
          <w:p w14:paraId="378058C6" w14:textId="77777777" w:rsidR="0059414F" w:rsidRPr="00444C3E" w:rsidRDefault="0059414F" w:rsidP="00B1082C">
            <w:pPr>
              <w:pStyle w:val="DAVA"/>
              <w:spacing w:before="60"/>
              <w:jc w:val="left"/>
              <w:rPr>
                <w:rFonts w:ascii="Cambria" w:hAnsi="Cambria"/>
                <w:sz w:val="20"/>
                <w:szCs w:val="20"/>
              </w:rPr>
            </w:pPr>
          </w:p>
        </w:tc>
        <w:tc>
          <w:tcPr>
            <w:tcW w:w="2332" w:type="dxa"/>
            <w:tcBorders>
              <w:top w:val="nil"/>
              <w:bottom w:val="nil"/>
            </w:tcBorders>
            <w:shd w:val="clear" w:color="auto" w:fill="EAF1DD" w:themeFill="accent3" w:themeFillTint="33"/>
            <w:tcMar>
              <w:left w:w="28" w:type="dxa"/>
              <w:right w:w="28" w:type="dxa"/>
            </w:tcMar>
            <w:vAlign w:val="center"/>
          </w:tcPr>
          <w:p w14:paraId="51DA67BD" w14:textId="77777777" w:rsidR="0059414F" w:rsidRPr="00444C3E" w:rsidRDefault="0059414F" w:rsidP="00B1082C">
            <w:pPr>
              <w:pStyle w:val="DAVA"/>
              <w:spacing w:before="60"/>
              <w:jc w:val="left"/>
              <w:rPr>
                <w:rFonts w:ascii="Cambria" w:hAnsi="Cambria"/>
                <w:sz w:val="20"/>
                <w:szCs w:val="20"/>
              </w:rPr>
            </w:pPr>
          </w:p>
        </w:tc>
        <w:tc>
          <w:tcPr>
            <w:tcW w:w="5274" w:type="dxa"/>
            <w:tcBorders>
              <w:top w:val="nil"/>
              <w:bottom w:val="nil"/>
            </w:tcBorders>
            <w:shd w:val="clear" w:color="auto" w:fill="EAF1DD" w:themeFill="accent3" w:themeFillTint="33"/>
            <w:tcMar>
              <w:left w:w="28" w:type="dxa"/>
              <w:right w:w="28" w:type="dxa"/>
            </w:tcMar>
            <w:vAlign w:val="center"/>
          </w:tcPr>
          <w:p w14:paraId="42CAA643" w14:textId="77777777" w:rsidR="0059414F" w:rsidRPr="00444C3E" w:rsidRDefault="0059414F" w:rsidP="002E3979">
            <w:pPr>
              <w:pStyle w:val="DAVA"/>
              <w:numPr>
                <w:ilvl w:val="0"/>
                <w:numId w:val="11"/>
              </w:numPr>
              <w:spacing w:before="0"/>
              <w:ind w:hanging="218"/>
              <w:jc w:val="left"/>
              <w:rPr>
                <w:rFonts w:ascii="Cambria" w:hAnsi="Cambria"/>
                <w:i/>
                <w:sz w:val="20"/>
                <w:szCs w:val="20"/>
              </w:rPr>
            </w:pPr>
            <w:r w:rsidRPr="00444C3E">
              <w:rPr>
                <w:rFonts w:ascii="Cambria" w:hAnsi="Cambria"/>
                <w:i/>
                <w:sz w:val="20"/>
                <w:szCs w:val="20"/>
              </w:rPr>
              <w:t xml:space="preserve">oznámení koncepce dle § 10c zákona o posuzování vlivů na životní prostředí </w:t>
            </w:r>
          </w:p>
        </w:tc>
        <w:tc>
          <w:tcPr>
            <w:tcW w:w="2049" w:type="dxa"/>
            <w:tcBorders>
              <w:top w:val="nil"/>
              <w:bottom w:val="nil"/>
            </w:tcBorders>
            <w:shd w:val="clear" w:color="auto" w:fill="EAF1DD" w:themeFill="accent3" w:themeFillTint="33"/>
            <w:tcMar>
              <w:left w:w="28" w:type="dxa"/>
              <w:right w:w="28" w:type="dxa"/>
            </w:tcMar>
            <w:vAlign w:val="center"/>
          </w:tcPr>
          <w:p w14:paraId="735921B1" w14:textId="77777777" w:rsidR="0059414F" w:rsidRPr="00444C3E" w:rsidRDefault="0059414F" w:rsidP="002E3979">
            <w:pPr>
              <w:pStyle w:val="DAVA"/>
              <w:spacing w:before="0"/>
              <w:jc w:val="center"/>
              <w:rPr>
                <w:rFonts w:ascii="Cambria" w:hAnsi="Cambria"/>
                <w:i/>
                <w:sz w:val="20"/>
                <w:szCs w:val="20"/>
              </w:rPr>
            </w:pPr>
          </w:p>
        </w:tc>
        <w:tc>
          <w:tcPr>
            <w:tcW w:w="2458" w:type="dxa"/>
            <w:tcBorders>
              <w:top w:val="nil"/>
              <w:bottom w:val="nil"/>
            </w:tcBorders>
            <w:shd w:val="clear" w:color="auto" w:fill="EAF1DD" w:themeFill="accent3" w:themeFillTint="33"/>
            <w:tcMar>
              <w:left w:w="28" w:type="dxa"/>
              <w:right w:w="28" w:type="dxa"/>
            </w:tcMar>
            <w:vAlign w:val="center"/>
          </w:tcPr>
          <w:p w14:paraId="3D6E7CD6" w14:textId="77777777" w:rsidR="0059414F" w:rsidRPr="00444C3E" w:rsidRDefault="0059414F" w:rsidP="002E3979">
            <w:pPr>
              <w:spacing w:after="0" w:line="240" w:lineRule="auto"/>
              <w:rPr>
                <w:rFonts w:ascii="Cambria" w:eastAsia="Times New Roman" w:hAnsi="Cambria"/>
                <w:sz w:val="20"/>
                <w:szCs w:val="20"/>
                <w:lang w:eastAsia="cs-CZ"/>
              </w:rPr>
            </w:pPr>
            <w:r w:rsidRPr="00444C3E">
              <w:rPr>
                <w:rFonts w:ascii="Cambria" w:eastAsia="Times New Roman" w:hAnsi="Cambria"/>
                <w:sz w:val="20"/>
                <w:szCs w:val="20"/>
                <w:lang w:eastAsia="cs-CZ"/>
              </w:rPr>
              <w:t>MŽP</w:t>
            </w:r>
          </w:p>
        </w:tc>
      </w:tr>
      <w:tr w:rsidR="0059414F" w:rsidRPr="006E43D9" w14:paraId="52EEF809" w14:textId="77777777" w:rsidTr="007D6B49">
        <w:trPr>
          <w:trHeight w:val="416"/>
        </w:trPr>
        <w:tc>
          <w:tcPr>
            <w:tcW w:w="1779" w:type="dxa"/>
            <w:tcBorders>
              <w:top w:val="nil"/>
              <w:bottom w:val="nil"/>
            </w:tcBorders>
            <w:shd w:val="clear" w:color="auto" w:fill="EAF1DD" w:themeFill="accent3" w:themeFillTint="33"/>
            <w:tcMar>
              <w:left w:w="28" w:type="dxa"/>
              <w:right w:w="28" w:type="dxa"/>
            </w:tcMar>
            <w:vAlign w:val="center"/>
          </w:tcPr>
          <w:p w14:paraId="747439E3" w14:textId="77777777" w:rsidR="0059414F" w:rsidRPr="00444C3E" w:rsidRDefault="0059414F" w:rsidP="00B1082C">
            <w:pPr>
              <w:pStyle w:val="DAVA"/>
              <w:spacing w:before="60"/>
              <w:jc w:val="left"/>
              <w:rPr>
                <w:rFonts w:ascii="Cambria" w:hAnsi="Cambria"/>
                <w:sz w:val="20"/>
                <w:szCs w:val="20"/>
              </w:rPr>
            </w:pPr>
          </w:p>
        </w:tc>
        <w:tc>
          <w:tcPr>
            <w:tcW w:w="2332" w:type="dxa"/>
            <w:tcBorders>
              <w:top w:val="nil"/>
              <w:bottom w:val="nil"/>
            </w:tcBorders>
            <w:shd w:val="clear" w:color="auto" w:fill="EAF1DD" w:themeFill="accent3" w:themeFillTint="33"/>
            <w:tcMar>
              <w:left w:w="28" w:type="dxa"/>
              <w:right w:w="28" w:type="dxa"/>
            </w:tcMar>
            <w:vAlign w:val="center"/>
          </w:tcPr>
          <w:p w14:paraId="29DDB313" w14:textId="77777777" w:rsidR="0059414F" w:rsidRPr="00444C3E" w:rsidRDefault="0059414F" w:rsidP="00B1082C">
            <w:pPr>
              <w:pStyle w:val="DAVA"/>
              <w:spacing w:before="60"/>
              <w:jc w:val="left"/>
              <w:rPr>
                <w:rFonts w:ascii="Cambria" w:hAnsi="Cambria"/>
                <w:sz w:val="20"/>
                <w:szCs w:val="20"/>
              </w:rPr>
            </w:pPr>
          </w:p>
        </w:tc>
        <w:tc>
          <w:tcPr>
            <w:tcW w:w="5274" w:type="dxa"/>
            <w:tcBorders>
              <w:top w:val="nil"/>
              <w:bottom w:val="nil"/>
            </w:tcBorders>
            <w:shd w:val="clear" w:color="auto" w:fill="EAF1DD" w:themeFill="accent3" w:themeFillTint="33"/>
            <w:tcMar>
              <w:left w:w="28" w:type="dxa"/>
              <w:right w:w="28" w:type="dxa"/>
            </w:tcMar>
            <w:vAlign w:val="center"/>
          </w:tcPr>
          <w:p w14:paraId="392BB240" w14:textId="77777777" w:rsidR="0059414F" w:rsidRPr="00444C3E" w:rsidRDefault="0059414F" w:rsidP="002E3979">
            <w:pPr>
              <w:pStyle w:val="DAVA"/>
              <w:numPr>
                <w:ilvl w:val="0"/>
                <w:numId w:val="11"/>
              </w:numPr>
              <w:spacing w:before="0"/>
              <w:ind w:hanging="218"/>
              <w:jc w:val="left"/>
              <w:rPr>
                <w:rFonts w:ascii="Cambria" w:hAnsi="Cambria"/>
                <w:i/>
                <w:sz w:val="20"/>
                <w:szCs w:val="20"/>
              </w:rPr>
            </w:pPr>
            <w:r w:rsidRPr="00444C3E">
              <w:rPr>
                <w:rFonts w:ascii="Cambria" w:hAnsi="Cambria"/>
                <w:i/>
                <w:sz w:val="20"/>
                <w:szCs w:val="20"/>
              </w:rPr>
              <w:t xml:space="preserve">meziresortní připomínkové řízení </w:t>
            </w:r>
          </w:p>
        </w:tc>
        <w:tc>
          <w:tcPr>
            <w:tcW w:w="2049" w:type="dxa"/>
            <w:tcBorders>
              <w:top w:val="nil"/>
              <w:bottom w:val="nil"/>
            </w:tcBorders>
            <w:shd w:val="clear" w:color="auto" w:fill="EAF1DD" w:themeFill="accent3" w:themeFillTint="33"/>
            <w:tcMar>
              <w:left w:w="28" w:type="dxa"/>
              <w:right w:w="28" w:type="dxa"/>
            </w:tcMar>
            <w:vAlign w:val="center"/>
          </w:tcPr>
          <w:p w14:paraId="5C620CA0" w14:textId="77777777" w:rsidR="0059414F" w:rsidRPr="00444C3E" w:rsidRDefault="0059414F" w:rsidP="002E3979">
            <w:pPr>
              <w:pStyle w:val="DAVA"/>
              <w:spacing w:before="0"/>
              <w:jc w:val="center"/>
              <w:rPr>
                <w:rFonts w:ascii="Cambria" w:hAnsi="Cambria"/>
                <w:i/>
                <w:sz w:val="20"/>
                <w:szCs w:val="20"/>
              </w:rPr>
            </w:pPr>
          </w:p>
        </w:tc>
        <w:tc>
          <w:tcPr>
            <w:tcW w:w="2458" w:type="dxa"/>
            <w:tcBorders>
              <w:top w:val="nil"/>
              <w:bottom w:val="nil"/>
            </w:tcBorders>
            <w:shd w:val="clear" w:color="auto" w:fill="EAF1DD" w:themeFill="accent3" w:themeFillTint="33"/>
            <w:tcMar>
              <w:left w:w="28" w:type="dxa"/>
              <w:right w:w="28" w:type="dxa"/>
            </w:tcMar>
            <w:vAlign w:val="center"/>
          </w:tcPr>
          <w:p w14:paraId="388B4BFD" w14:textId="77777777" w:rsidR="0059414F" w:rsidRPr="00444C3E" w:rsidRDefault="0059414F" w:rsidP="002E3979">
            <w:pPr>
              <w:pStyle w:val="DAVA"/>
              <w:spacing w:before="0"/>
              <w:jc w:val="left"/>
              <w:rPr>
                <w:rFonts w:ascii="Cambria" w:hAnsi="Cambria"/>
                <w:sz w:val="20"/>
                <w:szCs w:val="20"/>
              </w:rPr>
            </w:pPr>
            <w:r w:rsidRPr="00444C3E">
              <w:rPr>
                <w:rFonts w:ascii="Cambria" w:hAnsi="Cambria"/>
                <w:sz w:val="20"/>
                <w:szCs w:val="20"/>
              </w:rPr>
              <w:t xml:space="preserve">MŽP / </w:t>
            </w:r>
            <w:r w:rsidRPr="00444C3E">
              <w:rPr>
                <w:rFonts w:ascii="Cambria" w:hAnsi="Cambria" w:cs="Calibri"/>
                <w:sz w:val="20"/>
                <w:szCs w:val="20"/>
              </w:rPr>
              <w:t>spolupráce MZe, MV, MPO, MD, MZdr</w:t>
            </w:r>
          </w:p>
        </w:tc>
      </w:tr>
      <w:tr w:rsidR="0059414F" w:rsidRPr="006E43D9" w14:paraId="248EF6E9" w14:textId="77777777" w:rsidTr="007D6B49">
        <w:trPr>
          <w:trHeight w:val="416"/>
        </w:trPr>
        <w:tc>
          <w:tcPr>
            <w:tcW w:w="1779" w:type="dxa"/>
            <w:tcBorders>
              <w:top w:val="nil"/>
              <w:bottom w:val="nil"/>
            </w:tcBorders>
            <w:shd w:val="clear" w:color="auto" w:fill="EAF1DD" w:themeFill="accent3" w:themeFillTint="33"/>
            <w:tcMar>
              <w:left w:w="28" w:type="dxa"/>
              <w:right w:w="28" w:type="dxa"/>
            </w:tcMar>
            <w:vAlign w:val="center"/>
          </w:tcPr>
          <w:p w14:paraId="34AE43EB" w14:textId="77777777" w:rsidR="0059414F" w:rsidRPr="00444C3E" w:rsidRDefault="0059414F" w:rsidP="00B1082C">
            <w:pPr>
              <w:pStyle w:val="DAVA"/>
              <w:spacing w:before="60"/>
              <w:jc w:val="left"/>
              <w:rPr>
                <w:rFonts w:ascii="Cambria" w:hAnsi="Cambria"/>
                <w:sz w:val="20"/>
                <w:szCs w:val="20"/>
              </w:rPr>
            </w:pPr>
          </w:p>
        </w:tc>
        <w:tc>
          <w:tcPr>
            <w:tcW w:w="2332" w:type="dxa"/>
            <w:tcBorders>
              <w:top w:val="nil"/>
              <w:bottom w:val="nil"/>
            </w:tcBorders>
            <w:shd w:val="clear" w:color="auto" w:fill="EAF1DD" w:themeFill="accent3" w:themeFillTint="33"/>
            <w:tcMar>
              <w:left w:w="28" w:type="dxa"/>
              <w:right w:w="28" w:type="dxa"/>
            </w:tcMar>
            <w:vAlign w:val="center"/>
          </w:tcPr>
          <w:p w14:paraId="1C704F43" w14:textId="77777777" w:rsidR="0059414F" w:rsidRPr="00444C3E" w:rsidRDefault="0059414F" w:rsidP="00B1082C">
            <w:pPr>
              <w:pStyle w:val="DAVA"/>
              <w:spacing w:before="60"/>
              <w:jc w:val="left"/>
              <w:rPr>
                <w:rFonts w:ascii="Cambria" w:hAnsi="Cambria"/>
                <w:sz w:val="20"/>
                <w:szCs w:val="20"/>
              </w:rPr>
            </w:pPr>
          </w:p>
        </w:tc>
        <w:tc>
          <w:tcPr>
            <w:tcW w:w="5274" w:type="dxa"/>
            <w:tcBorders>
              <w:top w:val="nil"/>
              <w:bottom w:val="nil"/>
            </w:tcBorders>
            <w:shd w:val="clear" w:color="auto" w:fill="EAF1DD" w:themeFill="accent3" w:themeFillTint="33"/>
            <w:tcMar>
              <w:left w:w="28" w:type="dxa"/>
              <w:right w:w="28" w:type="dxa"/>
            </w:tcMar>
            <w:vAlign w:val="center"/>
          </w:tcPr>
          <w:p w14:paraId="1B9D7C5B" w14:textId="77777777" w:rsidR="0059414F" w:rsidRPr="00444C3E" w:rsidRDefault="0059414F" w:rsidP="002E3979">
            <w:pPr>
              <w:pStyle w:val="DAVA"/>
              <w:numPr>
                <w:ilvl w:val="0"/>
                <w:numId w:val="11"/>
              </w:numPr>
              <w:spacing w:before="0"/>
              <w:ind w:hanging="218"/>
              <w:jc w:val="left"/>
              <w:rPr>
                <w:rFonts w:ascii="Cambria" w:hAnsi="Cambria"/>
                <w:i/>
                <w:sz w:val="20"/>
                <w:szCs w:val="20"/>
              </w:rPr>
            </w:pPr>
            <w:r w:rsidRPr="00444C3E">
              <w:rPr>
                <w:rFonts w:ascii="Cambria" w:hAnsi="Cambria"/>
                <w:i/>
                <w:sz w:val="20"/>
                <w:szCs w:val="20"/>
              </w:rPr>
              <w:t xml:space="preserve">vyhodnocení vlivů koncepce na životní prostředí a veřejné zdraví (vyhodnocení SEA) </w:t>
            </w:r>
          </w:p>
        </w:tc>
        <w:tc>
          <w:tcPr>
            <w:tcW w:w="2049" w:type="dxa"/>
            <w:tcBorders>
              <w:top w:val="nil"/>
              <w:bottom w:val="nil"/>
            </w:tcBorders>
            <w:shd w:val="clear" w:color="auto" w:fill="EAF1DD" w:themeFill="accent3" w:themeFillTint="33"/>
            <w:tcMar>
              <w:left w:w="28" w:type="dxa"/>
              <w:right w:w="28" w:type="dxa"/>
            </w:tcMar>
            <w:vAlign w:val="center"/>
          </w:tcPr>
          <w:p w14:paraId="03B87FAF" w14:textId="77777777" w:rsidR="0059414F" w:rsidRPr="00444C3E" w:rsidRDefault="0059414F" w:rsidP="002E3979">
            <w:pPr>
              <w:pStyle w:val="DAVA"/>
              <w:spacing w:before="0"/>
              <w:jc w:val="center"/>
              <w:rPr>
                <w:rFonts w:ascii="Cambria" w:hAnsi="Cambria"/>
                <w:i/>
                <w:sz w:val="20"/>
                <w:szCs w:val="20"/>
              </w:rPr>
            </w:pPr>
          </w:p>
        </w:tc>
        <w:tc>
          <w:tcPr>
            <w:tcW w:w="2458" w:type="dxa"/>
            <w:tcBorders>
              <w:top w:val="nil"/>
              <w:bottom w:val="nil"/>
            </w:tcBorders>
            <w:shd w:val="clear" w:color="auto" w:fill="EAF1DD" w:themeFill="accent3" w:themeFillTint="33"/>
            <w:tcMar>
              <w:left w:w="28" w:type="dxa"/>
              <w:right w:w="28" w:type="dxa"/>
            </w:tcMar>
            <w:vAlign w:val="center"/>
          </w:tcPr>
          <w:p w14:paraId="58072122" w14:textId="77777777" w:rsidR="0059414F" w:rsidRPr="00444C3E" w:rsidRDefault="0059414F" w:rsidP="002E3979">
            <w:pPr>
              <w:pStyle w:val="DAVA"/>
              <w:spacing w:before="0"/>
              <w:jc w:val="left"/>
              <w:rPr>
                <w:rFonts w:ascii="Cambria" w:hAnsi="Cambria"/>
                <w:sz w:val="20"/>
                <w:szCs w:val="20"/>
              </w:rPr>
            </w:pPr>
            <w:r w:rsidRPr="00444C3E">
              <w:rPr>
                <w:rFonts w:ascii="Cambria" w:hAnsi="Cambria"/>
                <w:sz w:val="20"/>
                <w:szCs w:val="20"/>
              </w:rPr>
              <w:t xml:space="preserve">MŽP </w:t>
            </w:r>
          </w:p>
        </w:tc>
      </w:tr>
      <w:tr w:rsidR="0059414F" w:rsidRPr="006E43D9" w14:paraId="35EE83F1" w14:textId="77777777" w:rsidTr="007D6B49">
        <w:trPr>
          <w:trHeight w:val="416"/>
        </w:trPr>
        <w:tc>
          <w:tcPr>
            <w:tcW w:w="1779" w:type="dxa"/>
            <w:tcBorders>
              <w:top w:val="nil"/>
              <w:bottom w:val="nil"/>
            </w:tcBorders>
            <w:shd w:val="clear" w:color="auto" w:fill="EAF1DD" w:themeFill="accent3" w:themeFillTint="33"/>
            <w:tcMar>
              <w:left w:w="28" w:type="dxa"/>
              <w:right w:w="28" w:type="dxa"/>
            </w:tcMar>
            <w:vAlign w:val="center"/>
          </w:tcPr>
          <w:p w14:paraId="1BA30F28" w14:textId="77777777" w:rsidR="0059414F" w:rsidRPr="00444C3E" w:rsidRDefault="0059414F" w:rsidP="00B1082C">
            <w:pPr>
              <w:pStyle w:val="DAVA"/>
              <w:spacing w:before="60"/>
              <w:jc w:val="left"/>
              <w:rPr>
                <w:rFonts w:ascii="Cambria" w:hAnsi="Cambria"/>
                <w:sz w:val="20"/>
                <w:szCs w:val="20"/>
              </w:rPr>
            </w:pPr>
          </w:p>
        </w:tc>
        <w:tc>
          <w:tcPr>
            <w:tcW w:w="2332" w:type="dxa"/>
            <w:tcBorders>
              <w:top w:val="nil"/>
              <w:bottom w:val="nil"/>
            </w:tcBorders>
            <w:shd w:val="clear" w:color="auto" w:fill="EAF1DD" w:themeFill="accent3" w:themeFillTint="33"/>
            <w:tcMar>
              <w:left w:w="28" w:type="dxa"/>
              <w:right w:w="28" w:type="dxa"/>
            </w:tcMar>
            <w:vAlign w:val="center"/>
          </w:tcPr>
          <w:p w14:paraId="59892215" w14:textId="77777777" w:rsidR="0059414F" w:rsidRPr="00444C3E" w:rsidRDefault="0059414F" w:rsidP="00B1082C">
            <w:pPr>
              <w:pStyle w:val="DAVA"/>
              <w:spacing w:before="60"/>
              <w:jc w:val="left"/>
              <w:rPr>
                <w:rFonts w:ascii="Cambria" w:hAnsi="Cambria"/>
                <w:sz w:val="20"/>
                <w:szCs w:val="20"/>
              </w:rPr>
            </w:pPr>
          </w:p>
        </w:tc>
        <w:tc>
          <w:tcPr>
            <w:tcW w:w="5274" w:type="dxa"/>
            <w:tcBorders>
              <w:top w:val="nil"/>
              <w:bottom w:val="nil"/>
            </w:tcBorders>
            <w:shd w:val="clear" w:color="auto" w:fill="EAF1DD" w:themeFill="accent3" w:themeFillTint="33"/>
            <w:tcMar>
              <w:left w:w="28" w:type="dxa"/>
              <w:right w:w="28" w:type="dxa"/>
            </w:tcMar>
            <w:vAlign w:val="center"/>
          </w:tcPr>
          <w:p w14:paraId="7CED7470" w14:textId="77777777" w:rsidR="0059414F" w:rsidRPr="00444C3E" w:rsidRDefault="0059414F" w:rsidP="002E3979">
            <w:pPr>
              <w:pStyle w:val="DAVA"/>
              <w:numPr>
                <w:ilvl w:val="0"/>
                <w:numId w:val="11"/>
              </w:numPr>
              <w:spacing w:before="0"/>
              <w:ind w:hanging="218"/>
              <w:jc w:val="left"/>
              <w:rPr>
                <w:rFonts w:ascii="Cambria" w:hAnsi="Cambria"/>
                <w:i/>
                <w:sz w:val="20"/>
                <w:szCs w:val="20"/>
              </w:rPr>
            </w:pPr>
            <w:r w:rsidRPr="00444C3E">
              <w:rPr>
                <w:rFonts w:ascii="Cambria" w:hAnsi="Cambria"/>
                <w:i/>
                <w:sz w:val="20"/>
                <w:szCs w:val="20"/>
              </w:rPr>
              <w:t xml:space="preserve">vydání stanoviska SEA </w:t>
            </w:r>
          </w:p>
        </w:tc>
        <w:tc>
          <w:tcPr>
            <w:tcW w:w="2049" w:type="dxa"/>
            <w:tcBorders>
              <w:top w:val="nil"/>
              <w:bottom w:val="nil"/>
            </w:tcBorders>
            <w:shd w:val="clear" w:color="auto" w:fill="EAF1DD" w:themeFill="accent3" w:themeFillTint="33"/>
            <w:tcMar>
              <w:left w:w="28" w:type="dxa"/>
              <w:right w:w="28" w:type="dxa"/>
            </w:tcMar>
            <w:vAlign w:val="center"/>
          </w:tcPr>
          <w:p w14:paraId="3C98F3B5" w14:textId="77777777" w:rsidR="0059414F" w:rsidRPr="00444C3E" w:rsidRDefault="0059414F" w:rsidP="002E3979">
            <w:pPr>
              <w:pStyle w:val="DAVA"/>
              <w:spacing w:before="0"/>
              <w:jc w:val="center"/>
              <w:rPr>
                <w:rFonts w:ascii="Cambria" w:hAnsi="Cambria"/>
                <w:i/>
                <w:sz w:val="20"/>
                <w:szCs w:val="20"/>
              </w:rPr>
            </w:pPr>
          </w:p>
        </w:tc>
        <w:tc>
          <w:tcPr>
            <w:tcW w:w="2458" w:type="dxa"/>
            <w:tcBorders>
              <w:top w:val="nil"/>
              <w:bottom w:val="nil"/>
            </w:tcBorders>
            <w:shd w:val="clear" w:color="auto" w:fill="EAF1DD" w:themeFill="accent3" w:themeFillTint="33"/>
            <w:tcMar>
              <w:left w:w="28" w:type="dxa"/>
              <w:right w:w="28" w:type="dxa"/>
            </w:tcMar>
            <w:vAlign w:val="center"/>
          </w:tcPr>
          <w:p w14:paraId="52CA4CBB" w14:textId="77777777" w:rsidR="0059414F" w:rsidRPr="00444C3E" w:rsidRDefault="0059414F" w:rsidP="002E3979">
            <w:pPr>
              <w:pStyle w:val="DAVA"/>
              <w:spacing w:before="0"/>
              <w:jc w:val="left"/>
              <w:rPr>
                <w:rFonts w:ascii="Cambria" w:hAnsi="Cambria"/>
                <w:sz w:val="20"/>
                <w:szCs w:val="20"/>
              </w:rPr>
            </w:pPr>
            <w:r w:rsidRPr="00444C3E">
              <w:rPr>
                <w:rFonts w:ascii="Cambria" w:hAnsi="Cambria"/>
                <w:sz w:val="20"/>
                <w:szCs w:val="20"/>
              </w:rPr>
              <w:t xml:space="preserve">MŽP </w:t>
            </w:r>
          </w:p>
        </w:tc>
      </w:tr>
      <w:tr w:rsidR="0059414F" w:rsidRPr="006E43D9" w14:paraId="3261CF6B" w14:textId="77777777" w:rsidTr="007D6B49">
        <w:trPr>
          <w:trHeight w:val="416"/>
        </w:trPr>
        <w:tc>
          <w:tcPr>
            <w:tcW w:w="1779" w:type="dxa"/>
            <w:tcBorders>
              <w:top w:val="nil"/>
            </w:tcBorders>
            <w:shd w:val="clear" w:color="auto" w:fill="EAF1DD" w:themeFill="accent3" w:themeFillTint="33"/>
            <w:tcMar>
              <w:left w:w="28" w:type="dxa"/>
              <w:right w:w="28" w:type="dxa"/>
            </w:tcMar>
            <w:vAlign w:val="center"/>
          </w:tcPr>
          <w:p w14:paraId="1A487E82" w14:textId="77777777" w:rsidR="0059414F" w:rsidRPr="00444C3E" w:rsidRDefault="0059414F" w:rsidP="00B1082C">
            <w:pPr>
              <w:pStyle w:val="DAVA"/>
              <w:spacing w:before="60"/>
              <w:jc w:val="left"/>
              <w:rPr>
                <w:rFonts w:ascii="Cambria" w:hAnsi="Cambria"/>
                <w:sz w:val="20"/>
                <w:szCs w:val="20"/>
              </w:rPr>
            </w:pPr>
          </w:p>
        </w:tc>
        <w:tc>
          <w:tcPr>
            <w:tcW w:w="2332" w:type="dxa"/>
            <w:tcBorders>
              <w:top w:val="nil"/>
            </w:tcBorders>
            <w:shd w:val="clear" w:color="auto" w:fill="EAF1DD" w:themeFill="accent3" w:themeFillTint="33"/>
            <w:tcMar>
              <w:left w:w="28" w:type="dxa"/>
              <w:right w:w="28" w:type="dxa"/>
            </w:tcMar>
            <w:vAlign w:val="center"/>
          </w:tcPr>
          <w:p w14:paraId="6A29FF6A" w14:textId="77777777" w:rsidR="0059414F" w:rsidRPr="00444C3E" w:rsidRDefault="0059414F" w:rsidP="00B1082C">
            <w:pPr>
              <w:pStyle w:val="DAVA"/>
              <w:spacing w:before="60"/>
              <w:jc w:val="left"/>
              <w:rPr>
                <w:rFonts w:ascii="Cambria" w:hAnsi="Cambria"/>
                <w:sz w:val="20"/>
                <w:szCs w:val="20"/>
              </w:rPr>
            </w:pPr>
          </w:p>
        </w:tc>
        <w:tc>
          <w:tcPr>
            <w:tcW w:w="5274" w:type="dxa"/>
            <w:tcBorders>
              <w:top w:val="nil"/>
            </w:tcBorders>
            <w:shd w:val="clear" w:color="auto" w:fill="EAF1DD" w:themeFill="accent3" w:themeFillTint="33"/>
            <w:tcMar>
              <w:left w:w="28" w:type="dxa"/>
              <w:right w:w="28" w:type="dxa"/>
            </w:tcMar>
            <w:vAlign w:val="center"/>
          </w:tcPr>
          <w:p w14:paraId="68387C91" w14:textId="77777777" w:rsidR="0059414F" w:rsidRPr="00444C3E" w:rsidRDefault="0059414F" w:rsidP="002E3979">
            <w:pPr>
              <w:pStyle w:val="DAVA"/>
              <w:numPr>
                <w:ilvl w:val="0"/>
                <w:numId w:val="11"/>
              </w:numPr>
              <w:spacing w:before="0"/>
              <w:ind w:hanging="218"/>
              <w:jc w:val="left"/>
              <w:rPr>
                <w:rFonts w:ascii="Cambria" w:hAnsi="Cambria"/>
                <w:i/>
                <w:sz w:val="20"/>
                <w:szCs w:val="20"/>
              </w:rPr>
            </w:pPr>
            <w:r w:rsidRPr="00444C3E">
              <w:rPr>
                <w:rFonts w:ascii="Cambria" w:hAnsi="Cambria"/>
                <w:i/>
                <w:sz w:val="20"/>
                <w:szCs w:val="20"/>
              </w:rPr>
              <w:t>předložení vládě ke schválení</w:t>
            </w:r>
          </w:p>
        </w:tc>
        <w:tc>
          <w:tcPr>
            <w:tcW w:w="2049" w:type="dxa"/>
            <w:tcBorders>
              <w:top w:val="nil"/>
            </w:tcBorders>
            <w:shd w:val="clear" w:color="auto" w:fill="EAF1DD" w:themeFill="accent3" w:themeFillTint="33"/>
            <w:tcMar>
              <w:left w:w="28" w:type="dxa"/>
              <w:right w:w="28" w:type="dxa"/>
            </w:tcMar>
            <w:vAlign w:val="center"/>
          </w:tcPr>
          <w:p w14:paraId="5A0FB891" w14:textId="77777777" w:rsidR="0059414F" w:rsidRPr="00444C3E" w:rsidRDefault="0059414F" w:rsidP="002E3979">
            <w:pPr>
              <w:pStyle w:val="DAVA"/>
              <w:spacing w:before="0"/>
              <w:jc w:val="center"/>
              <w:rPr>
                <w:rFonts w:ascii="Cambria" w:hAnsi="Cambria"/>
                <w:i/>
                <w:sz w:val="20"/>
                <w:szCs w:val="20"/>
              </w:rPr>
            </w:pPr>
          </w:p>
        </w:tc>
        <w:tc>
          <w:tcPr>
            <w:tcW w:w="2458" w:type="dxa"/>
            <w:tcBorders>
              <w:top w:val="nil"/>
            </w:tcBorders>
            <w:shd w:val="clear" w:color="auto" w:fill="EAF1DD" w:themeFill="accent3" w:themeFillTint="33"/>
            <w:tcMar>
              <w:left w:w="28" w:type="dxa"/>
              <w:right w:w="28" w:type="dxa"/>
            </w:tcMar>
            <w:vAlign w:val="center"/>
          </w:tcPr>
          <w:p w14:paraId="2828701D" w14:textId="77777777" w:rsidR="0059414F" w:rsidRPr="00444C3E" w:rsidRDefault="0059414F" w:rsidP="002E3979">
            <w:pPr>
              <w:pStyle w:val="DAVA"/>
              <w:spacing w:before="0"/>
              <w:jc w:val="left"/>
              <w:rPr>
                <w:rFonts w:ascii="Cambria" w:hAnsi="Cambria"/>
                <w:sz w:val="20"/>
                <w:szCs w:val="20"/>
              </w:rPr>
            </w:pPr>
            <w:r w:rsidRPr="00444C3E">
              <w:rPr>
                <w:rFonts w:ascii="Cambria" w:hAnsi="Cambria"/>
                <w:sz w:val="20"/>
                <w:szCs w:val="20"/>
              </w:rPr>
              <w:t xml:space="preserve">MŽP </w:t>
            </w:r>
          </w:p>
        </w:tc>
      </w:tr>
      <w:tr w:rsidR="0059414F" w:rsidRPr="006E43D9" w14:paraId="05F4A670" w14:textId="77777777" w:rsidTr="007D6B49">
        <w:trPr>
          <w:trHeight w:val="416"/>
        </w:trPr>
        <w:tc>
          <w:tcPr>
            <w:tcW w:w="1779" w:type="dxa"/>
            <w:shd w:val="clear" w:color="auto" w:fill="EAF1DD" w:themeFill="accent3" w:themeFillTint="33"/>
            <w:tcMar>
              <w:left w:w="28" w:type="dxa"/>
              <w:right w:w="28" w:type="dxa"/>
            </w:tcMar>
            <w:vAlign w:val="center"/>
          </w:tcPr>
          <w:p w14:paraId="6D5F0F44" w14:textId="77777777" w:rsidR="0059414F" w:rsidRPr="00444C3E" w:rsidRDefault="0059414F" w:rsidP="00B1082C">
            <w:pPr>
              <w:pStyle w:val="DAVA"/>
              <w:spacing w:before="60"/>
              <w:jc w:val="left"/>
              <w:rPr>
                <w:rFonts w:ascii="Cambria" w:hAnsi="Cambria"/>
                <w:sz w:val="20"/>
                <w:szCs w:val="20"/>
              </w:rPr>
            </w:pPr>
          </w:p>
        </w:tc>
        <w:tc>
          <w:tcPr>
            <w:tcW w:w="2332" w:type="dxa"/>
            <w:shd w:val="clear" w:color="auto" w:fill="EAF1DD" w:themeFill="accent3" w:themeFillTint="33"/>
            <w:tcMar>
              <w:left w:w="28" w:type="dxa"/>
              <w:right w:w="28" w:type="dxa"/>
            </w:tcMar>
            <w:vAlign w:val="center"/>
          </w:tcPr>
          <w:p w14:paraId="72D983E9" w14:textId="77777777" w:rsidR="0059414F" w:rsidRPr="00444C3E" w:rsidRDefault="0059414F" w:rsidP="00B1082C">
            <w:pPr>
              <w:pStyle w:val="DAVA"/>
              <w:spacing w:before="60"/>
              <w:jc w:val="left"/>
              <w:rPr>
                <w:rFonts w:ascii="Cambria" w:hAnsi="Cambria"/>
                <w:sz w:val="20"/>
                <w:szCs w:val="20"/>
              </w:rPr>
            </w:pPr>
            <w:r w:rsidRPr="00444C3E">
              <w:rPr>
                <w:rFonts w:ascii="Cambria" w:hAnsi="Cambria"/>
                <w:sz w:val="20"/>
                <w:szCs w:val="20"/>
              </w:rPr>
              <w:t xml:space="preserve">- </w:t>
            </w:r>
            <w:r w:rsidRPr="00444C3E">
              <w:rPr>
                <w:rFonts w:ascii="Cambria" w:hAnsi="Cambria"/>
                <w:b/>
                <w:sz w:val="20"/>
                <w:szCs w:val="20"/>
              </w:rPr>
              <w:t>popis postupu, metodiky, metod</w:t>
            </w:r>
            <w:r w:rsidRPr="00444C3E">
              <w:rPr>
                <w:rFonts w:ascii="Cambria" w:hAnsi="Cambria"/>
                <w:sz w:val="20"/>
                <w:szCs w:val="20"/>
              </w:rPr>
              <w:t xml:space="preserve"> a jiných než citlivých údajů </w:t>
            </w:r>
            <w:r w:rsidRPr="00444C3E">
              <w:rPr>
                <w:rFonts w:ascii="Cambria" w:hAnsi="Cambria"/>
                <w:b/>
                <w:sz w:val="20"/>
                <w:szCs w:val="20"/>
              </w:rPr>
              <w:t>používaných</w:t>
            </w:r>
            <w:r w:rsidRPr="00444C3E">
              <w:rPr>
                <w:rFonts w:ascii="Cambria" w:hAnsi="Cambria"/>
                <w:sz w:val="20"/>
                <w:szCs w:val="20"/>
              </w:rPr>
              <w:t xml:space="preserve"> </w:t>
            </w:r>
            <w:r w:rsidRPr="00444C3E">
              <w:rPr>
                <w:rFonts w:ascii="Cambria" w:hAnsi="Cambria"/>
                <w:b/>
                <w:sz w:val="20"/>
                <w:szCs w:val="20"/>
              </w:rPr>
              <w:t xml:space="preserve">pro účely posuzování rizik, </w:t>
            </w:r>
            <w:r w:rsidRPr="00444C3E">
              <w:rPr>
                <w:rFonts w:ascii="Cambria" w:hAnsi="Cambria"/>
                <w:sz w:val="20"/>
                <w:szCs w:val="20"/>
              </w:rPr>
              <w:t xml:space="preserve">jakož i </w:t>
            </w:r>
            <w:r w:rsidRPr="00444C3E">
              <w:rPr>
                <w:rFonts w:ascii="Cambria" w:hAnsi="Cambria"/>
                <w:b/>
                <w:sz w:val="20"/>
                <w:szCs w:val="20"/>
              </w:rPr>
              <w:t>kritéria pro stanovování investičních priorit</w:t>
            </w:r>
            <w:r w:rsidRPr="00444C3E">
              <w:rPr>
                <w:rFonts w:ascii="Cambria" w:hAnsi="Cambria"/>
                <w:sz w:val="20"/>
                <w:szCs w:val="20"/>
              </w:rPr>
              <w:t xml:space="preserve"> v závislosti na riziku,</w:t>
            </w:r>
          </w:p>
        </w:tc>
        <w:tc>
          <w:tcPr>
            <w:tcW w:w="5274" w:type="dxa"/>
            <w:shd w:val="clear" w:color="auto" w:fill="EAF1DD" w:themeFill="accent3" w:themeFillTint="33"/>
            <w:tcMar>
              <w:left w:w="28" w:type="dxa"/>
              <w:right w:w="28" w:type="dxa"/>
            </w:tcMar>
            <w:vAlign w:val="center"/>
          </w:tcPr>
          <w:p w14:paraId="1DA6642D" w14:textId="77777777" w:rsidR="0059414F" w:rsidRPr="00444C3E" w:rsidRDefault="0059414F" w:rsidP="00B1082C">
            <w:pPr>
              <w:pStyle w:val="DAVA"/>
              <w:spacing w:before="60"/>
              <w:jc w:val="left"/>
              <w:rPr>
                <w:rFonts w:ascii="Cambria" w:hAnsi="Cambria"/>
                <w:sz w:val="20"/>
                <w:szCs w:val="20"/>
              </w:rPr>
            </w:pPr>
            <w:r w:rsidRPr="00444C3E">
              <w:rPr>
                <w:rFonts w:ascii="Cambria" w:hAnsi="Cambria"/>
                <w:sz w:val="20"/>
                <w:szCs w:val="20"/>
              </w:rPr>
              <w:t xml:space="preserve">Zpracování </w:t>
            </w:r>
            <w:r w:rsidRPr="00444C3E">
              <w:rPr>
                <w:rFonts w:ascii="Cambria" w:hAnsi="Cambria"/>
                <w:b/>
                <w:sz w:val="20"/>
                <w:szCs w:val="20"/>
              </w:rPr>
              <w:t xml:space="preserve">komplexní studie dopadů, zranitelnosti a zdrojů rizik souvisejících se změnou klimatu </w:t>
            </w:r>
            <w:r w:rsidRPr="00444C3E">
              <w:rPr>
                <w:rFonts w:ascii="Cambria" w:hAnsi="Cambria"/>
                <w:sz w:val="20"/>
                <w:szCs w:val="20"/>
              </w:rPr>
              <w:t>pro nejohroženější sektory</w:t>
            </w:r>
          </w:p>
        </w:tc>
        <w:tc>
          <w:tcPr>
            <w:tcW w:w="2049" w:type="dxa"/>
            <w:shd w:val="clear" w:color="auto" w:fill="EAF1DD" w:themeFill="accent3" w:themeFillTint="33"/>
            <w:tcMar>
              <w:left w:w="28" w:type="dxa"/>
              <w:right w:w="28" w:type="dxa"/>
            </w:tcMar>
            <w:vAlign w:val="center"/>
          </w:tcPr>
          <w:p w14:paraId="135DE6CB" w14:textId="76FB5A78" w:rsidR="0059414F" w:rsidRPr="00444C3E" w:rsidRDefault="0059414F" w:rsidP="00B1082C">
            <w:pPr>
              <w:pStyle w:val="DAVA"/>
              <w:spacing w:before="60"/>
              <w:jc w:val="center"/>
              <w:rPr>
                <w:rFonts w:ascii="Cambria" w:hAnsi="Cambria"/>
                <w:b/>
                <w:sz w:val="20"/>
                <w:szCs w:val="20"/>
              </w:rPr>
            </w:pPr>
            <w:r w:rsidRPr="00444C3E">
              <w:rPr>
                <w:rFonts w:ascii="Cambria" w:hAnsi="Cambria"/>
                <w:b/>
                <w:sz w:val="20"/>
                <w:szCs w:val="20"/>
              </w:rPr>
              <w:t>XII 2015</w:t>
            </w:r>
          </w:p>
        </w:tc>
        <w:tc>
          <w:tcPr>
            <w:tcW w:w="2458" w:type="dxa"/>
            <w:shd w:val="clear" w:color="auto" w:fill="EAF1DD" w:themeFill="accent3" w:themeFillTint="33"/>
            <w:tcMar>
              <w:left w:w="28" w:type="dxa"/>
              <w:right w:w="28" w:type="dxa"/>
            </w:tcMar>
            <w:vAlign w:val="center"/>
          </w:tcPr>
          <w:p w14:paraId="146BC86C" w14:textId="77777777" w:rsidR="0059414F" w:rsidRPr="00444C3E" w:rsidRDefault="0059414F" w:rsidP="00B1082C">
            <w:pPr>
              <w:pStyle w:val="DAVA"/>
              <w:spacing w:before="60"/>
              <w:jc w:val="left"/>
              <w:rPr>
                <w:rFonts w:ascii="Cambria" w:hAnsi="Cambria"/>
                <w:sz w:val="20"/>
                <w:szCs w:val="20"/>
              </w:rPr>
            </w:pPr>
            <w:r w:rsidRPr="00444C3E">
              <w:rPr>
                <w:rFonts w:ascii="Cambria" w:hAnsi="Cambria"/>
                <w:sz w:val="20"/>
                <w:szCs w:val="20"/>
              </w:rPr>
              <w:t xml:space="preserve">MŽP / </w:t>
            </w:r>
            <w:r w:rsidRPr="00444C3E">
              <w:rPr>
                <w:rFonts w:ascii="Cambria" w:hAnsi="Cambria" w:cs="Calibri"/>
                <w:sz w:val="20"/>
                <w:szCs w:val="20"/>
              </w:rPr>
              <w:t>spolupráce MZe, MV, MPO, MD, MZdr</w:t>
            </w:r>
          </w:p>
        </w:tc>
      </w:tr>
      <w:tr w:rsidR="0059414F" w:rsidRPr="006E43D9" w14:paraId="6DF42D2A" w14:textId="77777777" w:rsidTr="007D6B49">
        <w:trPr>
          <w:trHeight w:val="411"/>
        </w:trPr>
        <w:tc>
          <w:tcPr>
            <w:tcW w:w="1779" w:type="dxa"/>
            <w:shd w:val="clear" w:color="auto" w:fill="EAF1DD" w:themeFill="accent3" w:themeFillTint="33"/>
            <w:tcMar>
              <w:left w:w="28" w:type="dxa"/>
              <w:right w:w="28" w:type="dxa"/>
            </w:tcMar>
            <w:vAlign w:val="center"/>
          </w:tcPr>
          <w:p w14:paraId="15A1C9F1" w14:textId="77777777" w:rsidR="0059414F" w:rsidRPr="00444C3E" w:rsidRDefault="0059414F" w:rsidP="00B1082C">
            <w:pPr>
              <w:pStyle w:val="DAVA"/>
              <w:spacing w:before="60"/>
              <w:jc w:val="left"/>
              <w:rPr>
                <w:rFonts w:ascii="Cambria" w:hAnsi="Cambria"/>
                <w:sz w:val="20"/>
                <w:szCs w:val="20"/>
              </w:rPr>
            </w:pPr>
          </w:p>
        </w:tc>
        <w:tc>
          <w:tcPr>
            <w:tcW w:w="2332" w:type="dxa"/>
            <w:shd w:val="clear" w:color="auto" w:fill="EAF1DD" w:themeFill="accent3" w:themeFillTint="33"/>
            <w:tcMar>
              <w:left w:w="28" w:type="dxa"/>
              <w:right w:w="28" w:type="dxa"/>
            </w:tcMar>
            <w:vAlign w:val="center"/>
          </w:tcPr>
          <w:p w14:paraId="7ACCDF50" w14:textId="77777777" w:rsidR="0059414F" w:rsidRPr="00444C3E" w:rsidRDefault="0059414F" w:rsidP="00B1082C">
            <w:pPr>
              <w:pStyle w:val="DAVA"/>
              <w:spacing w:before="60"/>
              <w:jc w:val="left"/>
              <w:rPr>
                <w:rFonts w:ascii="Cambria" w:hAnsi="Cambria"/>
                <w:sz w:val="20"/>
                <w:szCs w:val="20"/>
              </w:rPr>
            </w:pPr>
          </w:p>
        </w:tc>
        <w:tc>
          <w:tcPr>
            <w:tcW w:w="5274" w:type="dxa"/>
            <w:shd w:val="clear" w:color="auto" w:fill="EAF1DD" w:themeFill="accent3" w:themeFillTint="33"/>
            <w:tcMar>
              <w:left w:w="28" w:type="dxa"/>
              <w:right w:w="28" w:type="dxa"/>
            </w:tcMar>
            <w:vAlign w:val="center"/>
          </w:tcPr>
          <w:p w14:paraId="20A00C2E" w14:textId="77777777" w:rsidR="0059414F" w:rsidRPr="00444C3E" w:rsidRDefault="0059414F" w:rsidP="00B1082C">
            <w:pPr>
              <w:pStyle w:val="DAVA"/>
              <w:spacing w:before="60"/>
              <w:jc w:val="left"/>
              <w:rPr>
                <w:rFonts w:ascii="Cambria" w:hAnsi="Cambria"/>
                <w:sz w:val="20"/>
                <w:szCs w:val="20"/>
              </w:rPr>
            </w:pPr>
            <w:r w:rsidRPr="00444C3E">
              <w:rPr>
                <w:rFonts w:ascii="Cambria" w:hAnsi="Cambria"/>
                <w:sz w:val="20"/>
                <w:szCs w:val="20"/>
              </w:rPr>
              <w:t xml:space="preserve">Definování </w:t>
            </w:r>
            <w:r w:rsidRPr="00444C3E">
              <w:rPr>
                <w:rFonts w:ascii="Cambria" w:hAnsi="Cambria"/>
                <w:b/>
                <w:sz w:val="20"/>
                <w:szCs w:val="20"/>
              </w:rPr>
              <w:t>kritérií pro stanovování investičních priorit v závislosti na riziku</w:t>
            </w:r>
          </w:p>
        </w:tc>
        <w:tc>
          <w:tcPr>
            <w:tcW w:w="2049" w:type="dxa"/>
            <w:shd w:val="clear" w:color="auto" w:fill="EAF1DD" w:themeFill="accent3" w:themeFillTint="33"/>
            <w:tcMar>
              <w:left w:w="28" w:type="dxa"/>
              <w:right w:w="28" w:type="dxa"/>
            </w:tcMar>
            <w:vAlign w:val="center"/>
          </w:tcPr>
          <w:p w14:paraId="37000DD0" w14:textId="3018ACB1" w:rsidR="0059414F" w:rsidRPr="00444C3E" w:rsidRDefault="0059414F" w:rsidP="00B1082C">
            <w:pPr>
              <w:pStyle w:val="DAVA"/>
              <w:spacing w:before="60"/>
              <w:jc w:val="center"/>
              <w:rPr>
                <w:rFonts w:ascii="Cambria" w:hAnsi="Cambria"/>
                <w:b/>
                <w:sz w:val="20"/>
                <w:szCs w:val="20"/>
              </w:rPr>
            </w:pPr>
            <w:r w:rsidRPr="00444C3E">
              <w:rPr>
                <w:rFonts w:ascii="Cambria" w:hAnsi="Cambria"/>
                <w:b/>
                <w:sz w:val="20"/>
                <w:szCs w:val="20"/>
              </w:rPr>
              <w:t>XII 2015</w:t>
            </w:r>
          </w:p>
        </w:tc>
        <w:tc>
          <w:tcPr>
            <w:tcW w:w="2458" w:type="dxa"/>
            <w:shd w:val="clear" w:color="auto" w:fill="EAF1DD" w:themeFill="accent3" w:themeFillTint="33"/>
            <w:tcMar>
              <w:left w:w="28" w:type="dxa"/>
              <w:right w:w="28" w:type="dxa"/>
            </w:tcMar>
            <w:vAlign w:val="center"/>
          </w:tcPr>
          <w:p w14:paraId="181EBAE2" w14:textId="77777777" w:rsidR="0059414F" w:rsidRPr="00444C3E" w:rsidRDefault="0059414F" w:rsidP="00B1082C">
            <w:pPr>
              <w:pStyle w:val="DAVA"/>
              <w:spacing w:before="60"/>
              <w:jc w:val="left"/>
              <w:rPr>
                <w:rFonts w:ascii="Cambria" w:hAnsi="Cambria"/>
                <w:sz w:val="20"/>
                <w:szCs w:val="20"/>
              </w:rPr>
            </w:pPr>
            <w:r w:rsidRPr="00444C3E">
              <w:rPr>
                <w:rFonts w:ascii="Cambria" w:hAnsi="Cambria"/>
                <w:sz w:val="20"/>
                <w:szCs w:val="20"/>
              </w:rPr>
              <w:t xml:space="preserve">MŽP / </w:t>
            </w:r>
            <w:r w:rsidRPr="00444C3E">
              <w:rPr>
                <w:rFonts w:ascii="Cambria" w:hAnsi="Cambria" w:cs="Calibri"/>
                <w:sz w:val="20"/>
                <w:szCs w:val="20"/>
              </w:rPr>
              <w:t>spolupráce MZe, MV, MPO, MD, MZdr</w:t>
            </w:r>
          </w:p>
        </w:tc>
      </w:tr>
      <w:tr w:rsidR="0059414F" w:rsidRPr="006E43D9" w14:paraId="3BD6D578" w14:textId="77777777" w:rsidTr="007D6B49">
        <w:trPr>
          <w:trHeight w:val="411"/>
        </w:trPr>
        <w:tc>
          <w:tcPr>
            <w:tcW w:w="1779" w:type="dxa"/>
            <w:shd w:val="clear" w:color="auto" w:fill="EAF1DD" w:themeFill="accent3" w:themeFillTint="33"/>
            <w:tcMar>
              <w:left w:w="28" w:type="dxa"/>
              <w:right w:w="28" w:type="dxa"/>
            </w:tcMar>
            <w:vAlign w:val="center"/>
          </w:tcPr>
          <w:p w14:paraId="4B75A5E2" w14:textId="77777777" w:rsidR="0059414F" w:rsidRPr="00444C3E" w:rsidRDefault="0059414F" w:rsidP="00B1082C">
            <w:pPr>
              <w:pStyle w:val="DAVA"/>
              <w:spacing w:before="60"/>
              <w:jc w:val="left"/>
              <w:rPr>
                <w:rFonts w:ascii="Cambria" w:hAnsi="Cambria"/>
                <w:sz w:val="20"/>
                <w:szCs w:val="20"/>
              </w:rPr>
            </w:pPr>
          </w:p>
        </w:tc>
        <w:tc>
          <w:tcPr>
            <w:tcW w:w="2332" w:type="dxa"/>
            <w:shd w:val="clear" w:color="auto" w:fill="EAF1DD" w:themeFill="accent3" w:themeFillTint="33"/>
            <w:tcMar>
              <w:left w:w="28" w:type="dxa"/>
              <w:right w:w="28" w:type="dxa"/>
            </w:tcMar>
            <w:vAlign w:val="center"/>
          </w:tcPr>
          <w:p w14:paraId="7B69B214" w14:textId="77777777" w:rsidR="0059414F" w:rsidRPr="00444C3E" w:rsidRDefault="0059414F" w:rsidP="00B1082C">
            <w:pPr>
              <w:pStyle w:val="DAVA"/>
              <w:spacing w:before="60"/>
              <w:jc w:val="left"/>
              <w:rPr>
                <w:rFonts w:ascii="Cambria" w:hAnsi="Cambria"/>
                <w:sz w:val="20"/>
                <w:szCs w:val="20"/>
              </w:rPr>
            </w:pPr>
            <w:r w:rsidRPr="00444C3E">
              <w:rPr>
                <w:rFonts w:ascii="Cambria" w:hAnsi="Cambria"/>
                <w:sz w:val="20"/>
                <w:szCs w:val="20"/>
              </w:rPr>
              <w:t xml:space="preserve">- případné </w:t>
            </w:r>
            <w:r w:rsidRPr="00444C3E">
              <w:rPr>
                <w:rFonts w:ascii="Cambria" w:hAnsi="Cambria"/>
                <w:b/>
                <w:sz w:val="20"/>
                <w:szCs w:val="20"/>
              </w:rPr>
              <w:t>zohlednění vnitrostátních strategií pro přizpůsobení se změně klimatu</w:t>
            </w:r>
            <w:r w:rsidRPr="00444C3E">
              <w:rPr>
                <w:rFonts w:ascii="Cambria" w:hAnsi="Cambria"/>
                <w:sz w:val="20"/>
                <w:szCs w:val="20"/>
              </w:rPr>
              <w:t>.</w:t>
            </w:r>
          </w:p>
        </w:tc>
        <w:tc>
          <w:tcPr>
            <w:tcW w:w="5274" w:type="dxa"/>
            <w:shd w:val="clear" w:color="auto" w:fill="EAF1DD" w:themeFill="accent3" w:themeFillTint="33"/>
            <w:tcMar>
              <w:left w:w="28" w:type="dxa"/>
              <w:right w:w="28" w:type="dxa"/>
            </w:tcMar>
            <w:vAlign w:val="center"/>
          </w:tcPr>
          <w:p w14:paraId="20E1A772" w14:textId="77777777" w:rsidR="0059414F" w:rsidRPr="00444C3E" w:rsidRDefault="0059414F" w:rsidP="00B1082C">
            <w:pPr>
              <w:pStyle w:val="DAVA"/>
              <w:spacing w:before="60"/>
              <w:jc w:val="left"/>
              <w:rPr>
                <w:rFonts w:ascii="Cambria" w:hAnsi="Cambria"/>
                <w:b/>
                <w:sz w:val="20"/>
                <w:szCs w:val="20"/>
              </w:rPr>
            </w:pPr>
            <w:r w:rsidRPr="00444C3E">
              <w:rPr>
                <w:rFonts w:ascii="Cambria" w:hAnsi="Cambria"/>
                <w:sz w:val="20"/>
                <w:szCs w:val="20"/>
              </w:rPr>
              <w:t>Schválení</w:t>
            </w:r>
            <w:r w:rsidRPr="00444C3E">
              <w:rPr>
                <w:rFonts w:ascii="Cambria" w:hAnsi="Cambria"/>
                <w:b/>
                <w:sz w:val="20"/>
                <w:szCs w:val="20"/>
              </w:rPr>
              <w:t xml:space="preserve"> adaptační strategie</w:t>
            </w:r>
          </w:p>
        </w:tc>
        <w:tc>
          <w:tcPr>
            <w:tcW w:w="2049" w:type="dxa"/>
            <w:shd w:val="clear" w:color="auto" w:fill="EAF1DD" w:themeFill="accent3" w:themeFillTint="33"/>
            <w:tcMar>
              <w:left w:w="28" w:type="dxa"/>
              <w:right w:w="28" w:type="dxa"/>
            </w:tcMar>
            <w:vAlign w:val="center"/>
          </w:tcPr>
          <w:p w14:paraId="0BE195C3" w14:textId="061E1A3D" w:rsidR="0059414F" w:rsidRPr="00444C3E" w:rsidRDefault="0059414F" w:rsidP="0059414F">
            <w:pPr>
              <w:pStyle w:val="DAVA"/>
              <w:spacing w:before="60"/>
              <w:jc w:val="center"/>
              <w:rPr>
                <w:rFonts w:ascii="Cambria" w:hAnsi="Cambria"/>
                <w:b/>
                <w:sz w:val="20"/>
                <w:szCs w:val="20"/>
              </w:rPr>
            </w:pPr>
            <w:r>
              <w:rPr>
                <w:rFonts w:ascii="Cambria" w:hAnsi="Cambria"/>
                <w:b/>
                <w:sz w:val="20"/>
                <w:szCs w:val="20"/>
              </w:rPr>
              <w:t xml:space="preserve"> </w:t>
            </w:r>
            <w:r w:rsidR="00990585">
              <w:rPr>
                <w:rFonts w:ascii="Cambria" w:hAnsi="Cambria"/>
                <w:b/>
                <w:sz w:val="20"/>
                <w:szCs w:val="20"/>
              </w:rPr>
              <w:t>IX-</w:t>
            </w:r>
            <w:r>
              <w:rPr>
                <w:rFonts w:ascii="Cambria" w:hAnsi="Cambria"/>
                <w:b/>
                <w:sz w:val="20"/>
                <w:szCs w:val="20"/>
              </w:rPr>
              <w:t xml:space="preserve">X </w:t>
            </w:r>
            <w:r w:rsidRPr="00444C3E">
              <w:rPr>
                <w:rFonts w:ascii="Cambria" w:hAnsi="Cambria"/>
                <w:b/>
                <w:sz w:val="20"/>
                <w:szCs w:val="20"/>
              </w:rPr>
              <w:t>2015</w:t>
            </w:r>
          </w:p>
        </w:tc>
        <w:tc>
          <w:tcPr>
            <w:tcW w:w="2458" w:type="dxa"/>
            <w:shd w:val="clear" w:color="auto" w:fill="EAF1DD" w:themeFill="accent3" w:themeFillTint="33"/>
            <w:tcMar>
              <w:left w:w="28" w:type="dxa"/>
              <w:right w:w="28" w:type="dxa"/>
            </w:tcMar>
            <w:vAlign w:val="center"/>
          </w:tcPr>
          <w:p w14:paraId="683B090B" w14:textId="77777777" w:rsidR="0059414F" w:rsidRPr="00444C3E" w:rsidRDefault="0059414F" w:rsidP="00B1082C">
            <w:pPr>
              <w:pStyle w:val="DAVA"/>
              <w:spacing w:before="60"/>
              <w:jc w:val="left"/>
              <w:rPr>
                <w:rFonts w:ascii="Cambria" w:hAnsi="Cambria"/>
                <w:sz w:val="20"/>
                <w:szCs w:val="20"/>
              </w:rPr>
            </w:pPr>
            <w:r w:rsidRPr="00444C3E">
              <w:rPr>
                <w:rFonts w:ascii="Cambria" w:hAnsi="Cambria"/>
                <w:sz w:val="20"/>
                <w:szCs w:val="20"/>
              </w:rPr>
              <w:t>Koordinuje a předkládá MŽP, schvaluje vláda.</w:t>
            </w:r>
          </w:p>
        </w:tc>
      </w:tr>
      <w:tr w:rsidR="0059414F" w:rsidRPr="006E43D9" w14:paraId="402ABBC8" w14:textId="77777777" w:rsidTr="007D6B49">
        <w:trPr>
          <w:trHeight w:val="411"/>
        </w:trPr>
        <w:tc>
          <w:tcPr>
            <w:tcW w:w="1779" w:type="dxa"/>
            <w:shd w:val="clear" w:color="auto" w:fill="EAF1DD" w:themeFill="accent3" w:themeFillTint="33"/>
            <w:tcMar>
              <w:left w:w="28" w:type="dxa"/>
              <w:right w:w="28" w:type="dxa"/>
            </w:tcMar>
            <w:vAlign w:val="center"/>
          </w:tcPr>
          <w:p w14:paraId="3BC83AB4" w14:textId="77777777" w:rsidR="0059414F" w:rsidRPr="00444C3E" w:rsidRDefault="0059414F" w:rsidP="00B1082C">
            <w:pPr>
              <w:pStyle w:val="DAVA"/>
              <w:spacing w:before="60"/>
              <w:jc w:val="left"/>
              <w:rPr>
                <w:rFonts w:ascii="Cambria" w:hAnsi="Cambria"/>
                <w:sz w:val="20"/>
                <w:szCs w:val="20"/>
              </w:rPr>
            </w:pPr>
          </w:p>
        </w:tc>
        <w:tc>
          <w:tcPr>
            <w:tcW w:w="2332" w:type="dxa"/>
            <w:shd w:val="clear" w:color="auto" w:fill="EAF1DD" w:themeFill="accent3" w:themeFillTint="33"/>
            <w:tcMar>
              <w:left w:w="28" w:type="dxa"/>
              <w:right w:w="28" w:type="dxa"/>
            </w:tcMar>
            <w:vAlign w:val="center"/>
          </w:tcPr>
          <w:p w14:paraId="0B80EAA1" w14:textId="77777777" w:rsidR="0059414F" w:rsidRPr="00444C3E" w:rsidRDefault="0059414F" w:rsidP="00B1082C">
            <w:pPr>
              <w:pStyle w:val="DAVA"/>
              <w:spacing w:before="60"/>
              <w:jc w:val="left"/>
              <w:rPr>
                <w:rFonts w:ascii="Cambria" w:hAnsi="Cambria"/>
                <w:sz w:val="20"/>
                <w:szCs w:val="20"/>
              </w:rPr>
            </w:pPr>
          </w:p>
        </w:tc>
        <w:tc>
          <w:tcPr>
            <w:tcW w:w="5274" w:type="dxa"/>
            <w:shd w:val="clear" w:color="auto" w:fill="EAF1DD" w:themeFill="accent3" w:themeFillTint="33"/>
            <w:tcMar>
              <w:left w:w="28" w:type="dxa"/>
              <w:right w:w="28" w:type="dxa"/>
            </w:tcMar>
            <w:vAlign w:val="center"/>
          </w:tcPr>
          <w:p w14:paraId="6BB5D0CB" w14:textId="77777777" w:rsidR="0059414F" w:rsidRPr="00444C3E" w:rsidRDefault="0059414F" w:rsidP="00B1082C">
            <w:pPr>
              <w:pStyle w:val="DAVA"/>
              <w:spacing w:before="60"/>
              <w:jc w:val="left"/>
              <w:rPr>
                <w:rFonts w:ascii="Cambria" w:hAnsi="Cambria"/>
                <w:b/>
                <w:sz w:val="20"/>
                <w:szCs w:val="20"/>
              </w:rPr>
            </w:pPr>
            <w:r w:rsidRPr="00444C3E">
              <w:rPr>
                <w:rFonts w:ascii="Cambria" w:hAnsi="Cambria"/>
                <w:sz w:val="20"/>
                <w:szCs w:val="20"/>
              </w:rPr>
              <w:t>Případné zohlednění</w:t>
            </w:r>
            <w:r w:rsidRPr="00444C3E">
              <w:rPr>
                <w:rFonts w:ascii="Cambria" w:hAnsi="Cambria"/>
                <w:b/>
                <w:sz w:val="20"/>
                <w:szCs w:val="20"/>
              </w:rPr>
              <w:t xml:space="preserve"> adaptační strategie</w:t>
            </w:r>
            <w:r w:rsidRPr="00444C3E">
              <w:rPr>
                <w:rFonts w:ascii="Cambria" w:hAnsi="Cambria"/>
                <w:sz w:val="20"/>
                <w:szCs w:val="20"/>
              </w:rPr>
              <w:t xml:space="preserve"> </w:t>
            </w:r>
            <w:r w:rsidRPr="00444C3E">
              <w:rPr>
                <w:rFonts w:ascii="Cambria" w:hAnsi="Cambria"/>
                <w:b/>
                <w:sz w:val="20"/>
                <w:szCs w:val="20"/>
              </w:rPr>
              <w:t>v odpovídajících</w:t>
            </w:r>
            <w:r w:rsidRPr="00444C3E">
              <w:rPr>
                <w:rFonts w:ascii="Cambria" w:hAnsi="Cambria"/>
                <w:sz w:val="20"/>
                <w:szCs w:val="20"/>
              </w:rPr>
              <w:t xml:space="preserve"> </w:t>
            </w:r>
            <w:r w:rsidRPr="00444C3E">
              <w:rPr>
                <w:rFonts w:ascii="Cambria" w:hAnsi="Cambria"/>
                <w:b/>
                <w:sz w:val="20"/>
                <w:szCs w:val="20"/>
              </w:rPr>
              <w:t>vnitrostátních nebo regionálních posouzeních rizik</w:t>
            </w:r>
          </w:p>
          <w:p w14:paraId="3917DF54" w14:textId="77777777" w:rsidR="0059414F" w:rsidRPr="00444C3E" w:rsidRDefault="0059414F" w:rsidP="00B1082C">
            <w:pPr>
              <w:pStyle w:val="DAVA"/>
              <w:spacing w:before="60"/>
              <w:jc w:val="left"/>
              <w:rPr>
                <w:rFonts w:ascii="Cambria" w:hAnsi="Cambria"/>
                <w:sz w:val="20"/>
                <w:szCs w:val="20"/>
              </w:rPr>
            </w:pPr>
            <w:r w:rsidRPr="00444C3E">
              <w:rPr>
                <w:rFonts w:ascii="Cambria" w:hAnsi="Cambria"/>
                <w:sz w:val="20"/>
                <w:szCs w:val="20"/>
              </w:rPr>
              <w:t>Návrh adaptační strategie je odpovídajícím způsobem zohledňován v připravovaných Plánech pro zvládání povodňových rizik a aktualizovaných Plánech povodí a Koncepci environmentální bezpečnosti. Případné relevantní změny adaptační strategie (jež mohou být vyvolané procesem SEA nebo MPŘ) budou do Plánů pro zvládání povodňových rizik a Plánů povodí uplatněny v rámci připomínek veřejnosti (do 22.6.2015) a do Koncepce environmentální bezpečnosti před jejím schválením (do 31.12.2015). Adaptační strategie bude po svém schválení uplatněna v odpovídající krizové dokumentaci dotčených resortů do 31.12.2015.</w:t>
            </w:r>
          </w:p>
        </w:tc>
        <w:tc>
          <w:tcPr>
            <w:tcW w:w="2049" w:type="dxa"/>
            <w:shd w:val="clear" w:color="auto" w:fill="EAF1DD" w:themeFill="accent3" w:themeFillTint="33"/>
            <w:tcMar>
              <w:left w:w="28" w:type="dxa"/>
              <w:right w:w="28" w:type="dxa"/>
            </w:tcMar>
            <w:vAlign w:val="center"/>
          </w:tcPr>
          <w:p w14:paraId="63DF5C6D" w14:textId="77777777" w:rsidR="0059414F" w:rsidRPr="00444C3E" w:rsidRDefault="0059414F" w:rsidP="00B1082C">
            <w:pPr>
              <w:pStyle w:val="DAVA"/>
              <w:spacing w:before="60"/>
              <w:jc w:val="center"/>
              <w:rPr>
                <w:rFonts w:ascii="Cambria" w:hAnsi="Cambria"/>
                <w:b/>
                <w:sz w:val="20"/>
                <w:szCs w:val="20"/>
              </w:rPr>
            </w:pPr>
            <w:r w:rsidRPr="00444C3E">
              <w:rPr>
                <w:rFonts w:ascii="Cambria" w:hAnsi="Cambria"/>
                <w:b/>
                <w:sz w:val="20"/>
                <w:szCs w:val="20"/>
              </w:rPr>
              <w:t>XII 2015</w:t>
            </w:r>
          </w:p>
        </w:tc>
        <w:tc>
          <w:tcPr>
            <w:tcW w:w="2458" w:type="dxa"/>
            <w:shd w:val="clear" w:color="auto" w:fill="EAF1DD" w:themeFill="accent3" w:themeFillTint="33"/>
            <w:tcMar>
              <w:left w:w="28" w:type="dxa"/>
              <w:right w:w="28" w:type="dxa"/>
            </w:tcMar>
            <w:vAlign w:val="center"/>
          </w:tcPr>
          <w:p w14:paraId="0AE9A34F" w14:textId="43EF883B" w:rsidR="0059414F" w:rsidRPr="00444C3E" w:rsidRDefault="0059414F" w:rsidP="00B1082C">
            <w:pPr>
              <w:pStyle w:val="DAVA"/>
              <w:spacing w:before="60"/>
              <w:jc w:val="left"/>
              <w:rPr>
                <w:rFonts w:ascii="Cambria" w:hAnsi="Cambria"/>
                <w:sz w:val="20"/>
                <w:szCs w:val="20"/>
              </w:rPr>
            </w:pPr>
            <w:r w:rsidRPr="00444C3E">
              <w:rPr>
                <w:rFonts w:ascii="Cambria" w:hAnsi="Cambria"/>
                <w:sz w:val="20"/>
                <w:szCs w:val="20"/>
              </w:rPr>
              <w:t>Příslušná ministerstva.</w:t>
            </w:r>
          </w:p>
        </w:tc>
      </w:tr>
    </w:tbl>
    <w:p w14:paraId="4272B655" w14:textId="77777777" w:rsidR="0059414F" w:rsidRPr="006E43D9" w:rsidRDefault="0059414F" w:rsidP="0059414F">
      <w:pPr>
        <w:pStyle w:val="Nadpis2"/>
        <w:ind w:left="720"/>
        <w:rPr>
          <w:color w:val="auto"/>
        </w:rPr>
      </w:pPr>
    </w:p>
    <w:p w14:paraId="1F0B8B0E" w14:textId="77777777" w:rsidR="006B6151" w:rsidRPr="00837486" w:rsidRDefault="006B6151" w:rsidP="006B6151"/>
    <w:p w14:paraId="05B76490" w14:textId="77777777" w:rsidR="006B6151" w:rsidRPr="006E43D9" w:rsidRDefault="006B6151" w:rsidP="006B6151">
      <w:bookmarkStart w:id="0" w:name="_GoBack"/>
      <w:bookmarkEnd w:id="0"/>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5386"/>
        <w:gridCol w:w="5103"/>
        <w:gridCol w:w="1276"/>
      </w:tblGrid>
      <w:tr w:rsidR="006B6151" w:rsidRPr="006E43D9" w14:paraId="07C1838F" w14:textId="77777777" w:rsidTr="00B1082C">
        <w:trPr>
          <w:trHeight w:val="431"/>
        </w:trPr>
        <w:tc>
          <w:tcPr>
            <w:tcW w:w="2127" w:type="dxa"/>
            <w:shd w:val="clear" w:color="auto" w:fill="C2D69B" w:themeFill="accent3" w:themeFillTint="99"/>
            <w:vAlign w:val="center"/>
          </w:tcPr>
          <w:p w14:paraId="67999AF6" w14:textId="77777777" w:rsidR="006B6151" w:rsidRPr="00444C3E" w:rsidRDefault="006B6151" w:rsidP="00B1082C">
            <w:pPr>
              <w:pStyle w:val="Default"/>
              <w:keepNext/>
              <w:jc w:val="center"/>
              <w:rPr>
                <w:rFonts w:ascii="Cambria" w:hAnsi="Cambria"/>
                <w:b/>
                <w:bCs/>
                <w:color w:val="auto"/>
                <w:sz w:val="20"/>
                <w:szCs w:val="20"/>
              </w:rPr>
            </w:pPr>
            <w:r w:rsidRPr="00444C3E">
              <w:rPr>
                <w:rFonts w:ascii="Cambria" w:hAnsi="Cambria"/>
                <w:b/>
                <w:bCs/>
                <w:color w:val="auto"/>
                <w:sz w:val="20"/>
                <w:szCs w:val="20"/>
              </w:rPr>
              <w:t>Kritéria</w:t>
            </w:r>
          </w:p>
        </w:tc>
        <w:tc>
          <w:tcPr>
            <w:tcW w:w="5386" w:type="dxa"/>
            <w:shd w:val="clear" w:color="auto" w:fill="C2D69B" w:themeFill="accent3" w:themeFillTint="99"/>
            <w:vAlign w:val="center"/>
          </w:tcPr>
          <w:p w14:paraId="0ADAC77B" w14:textId="77777777" w:rsidR="006B6151" w:rsidRPr="00444C3E" w:rsidRDefault="006B6151" w:rsidP="00B1082C">
            <w:pPr>
              <w:pStyle w:val="Default"/>
              <w:keepNext/>
              <w:jc w:val="center"/>
              <w:rPr>
                <w:rFonts w:ascii="Cambria" w:hAnsi="Cambria"/>
                <w:b/>
                <w:bCs/>
                <w:color w:val="auto"/>
                <w:sz w:val="20"/>
                <w:szCs w:val="20"/>
              </w:rPr>
            </w:pPr>
            <w:r w:rsidRPr="00444C3E">
              <w:rPr>
                <w:rFonts w:ascii="Cambria" w:hAnsi="Cambria"/>
                <w:b/>
                <w:bCs/>
                <w:color w:val="auto"/>
                <w:sz w:val="20"/>
                <w:szCs w:val="20"/>
              </w:rPr>
              <w:t>Assessment grids</w:t>
            </w:r>
          </w:p>
        </w:tc>
        <w:tc>
          <w:tcPr>
            <w:tcW w:w="5103" w:type="dxa"/>
            <w:shd w:val="clear" w:color="auto" w:fill="C2D69B" w:themeFill="accent3" w:themeFillTint="99"/>
            <w:vAlign w:val="center"/>
          </w:tcPr>
          <w:p w14:paraId="062373AF" w14:textId="77777777" w:rsidR="006B6151" w:rsidRPr="00444C3E" w:rsidRDefault="006B6151" w:rsidP="00B1082C">
            <w:pPr>
              <w:pStyle w:val="Default"/>
              <w:keepNext/>
              <w:jc w:val="center"/>
              <w:rPr>
                <w:rFonts w:ascii="Cambria" w:hAnsi="Cambria"/>
                <w:b/>
                <w:bCs/>
                <w:color w:val="auto"/>
                <w:sz w:val="20"/>
                <w:szCs w:val="20"/>
              </w:rPr>
            </w:pPr>
            <w:r w:rsidRPr="00444C3E">
              <w:rPr>
                <w:rFonts w:ascii="Cambria" w:hAnsi="Cambria"/>
                <w:b/>
                <w:bCs/>
                <w:color w:val="auto"/>
                <w:sz w:val="20"/>
                <w:szCs w:val="20"/>
              </w:rPr>
              <w:t>Opatření</w:t>
            </w:r>
          </w:p>
        </w:tc>
        <w:tc>
          <w:tcPr>
            <w:tcW w:w="1276" w:type="dxa"/>
            <w:shd w:val="clear" w:color="auto" w:fill="C2D69B" w:themeFill="accent3" w:themeFillTint="99"/>
            <w:vAlign w:val="center"/>
          </w:tcPr>
          <w:p w14:paraId="1919A451" w14:textId="77777777" w:rsidR="006B6151" w:rsidRPr="00444C3E" w:rsidRDefault="006B6151" w:rsidP="00B1082C">
            <w:pPr>
              <w:pStyle w:val="Default"/>
              <w:keepNext/>
              <w:jc w:val="center"/>
              <w:rPr>
                <w:rFonts w:ascii="Cambria" w:hAnsi="Cambria"/>
                <w:b/>
                <w:bCs/>
                <w:color w:val="auto"/>
                <w:sz w:val="20"/>
                <w:szCs w:val="20"/>
              </w:rPr>
            </w:pPr>
            <w:r w:rsidRPr="00444C3E">
              <w:rPr>
                <w:rFonts w:ascii="Cambria" w:hAnsi="Cambria"/>
                <w:b/>
                <w:bCs/>
                <w:color w:val="auto"/>
                <w:sz w:val="20"/>
                <w:szCs w:val="20"/>
              </w:rPr>
              <w:t>Termín splnění (datum)</w:t>
            </w:r>
          </w:p>
        </w:tc>
      </w:tr>
      <w:tr w:rsidR="006B6151" w:rsidRPr="006E43D9" w14:paraId="1A109CFE" w14:textId="77777777" w:rsidTr="00B1082C">
        <w:trPr>
          <w:trHeight w:val="424"/>
        </w:trPr>
        <w:tc>
          <w:tcPr>
            <w:tcW w:w="2127" w:type="dxa"/>
            <w:shd w:val="clear" w:color="auto" w:fill="EAF1DD" w:themeFill="accent3" w:themeFillTint="33"/>
            <w:tcMar>
              <w:left w:w="28" w:type="dxa"/>
              <w:right w:w="28" w:type="dxa"/>
            </w:tcMar>
            <w:vAlign w:val="center"/>
          </w:tcPr>
          <w:p w14:paraId="25E0A70B" w14:textId="77777777" w:rsidR="006B6151" w:rsidRPr="00444C3E" w:rsidRDefault="006B6151" w:rsidP="00B1082C">
            <w:pPr>
              <w:pStyle w:val="DAVA"/>
              <w:spacing w:before="60"/>
              <w:jc w:val="left"/>
              <w:rPr>
                <w:rFonts w:ascii="Cambria" w:hAnsi="Cambria"/>
                <w:sz w:val="18"/>
                <w:szCs w:val="18"/>
              </w:rPr>
            </w:pPr>
            <w:r w:rsidRPr="00444C3E">
              <w:rPr>
                <w:rFonts w:ascii="Cambria" w:hAnsi="Cambria"/>
                <w:sz w:val="18"/>
                <w:szCs w:val="18"/>
              </w:rPr>
              <w:t xml:space="preserve">Existuje </w:t>
            </w:r>
            <w:r w:rsidRPr="00444C3E">
              <w:rPr>
                <w:rFonts w:ascii="Cambria" w:hAnsi="Cambria"/>
                <w:b/>
                <w:sz w:val="18"/>
                <w:szCs w:val="18"/>
              </w:rPr>
              <w:t>vnitrostátní nebo regionální posouzení rizik</w:t>
            </w:r>
            <w:r w:rsidRPr="00444C3E">
              <w:rPr>
                <w:rFonts w:ascii="Cambria" w:hAnsi="Cambria"/>
                <w:sz w:val="18"/>
                <w:szCs w:val="18"/>
              </w:rPr>
              <w:t xml:space="preserve"> obsahující tyto prvky:</w:t>
            </w:r>
          </w:p>
        </w:tc>
        <w:tc>
          <w:tcPr>
            <w:tcW w:w="5386" w:type="dxa"/>
            <w:shd w:val="clear" w:color="auto" w:fill="EAF1DD" w:themeFill="accent3" w:themeFillTint="33"/>
            <w:tcMar>
              <w:left w:w="28" w:type="dxa"/>
              <w:right w:w="28" w:type="dxa"/>
            </w:tcMar>
            <w:vAlign w:val="center"/>
          </w:tcPr>
          <w:p w14:paraId="36751D46" w14:textId="77777777" w:rsidR="006B6151" w:rsidRPr="00444C3E" w:rsidRDefault="006B6151" w:rsidP="00B1082C">
            <w:pPr>
              <w:pStyle w:val="DAVA"/>
              <w:numPr>
                <w:ilvl w:val="0"/>
                <w:numId w:val="7"/>
              </w:numPr>
              <w:spacing w:before="60"/>
              <w:ind w:left="256" w:hanging="142"/>
              <w:jc w:val="left"/>
              <w:rPr>
                <w:rFonts w:ascii="Cambria" w:hAnsi="Cambria"/>
                <w:i/>
                <w:sz w:val="18"/>
                <w:szCs w:val="18"/>
              </w:rPr>
            </w:pPr>
            <w:r w:rsidRPr="00444C3E">
              <w:rPr>
                <w:rFonts w:ascii="Cambria" w:hAnsi="Cambria"/>
                <w:i/>
                <w:color w:val="000000"/>
                <w:sz w:val="18"/>
                <w:szCs w:val="18"/>
                <w:lang w:val="en-GB" w:eastAsia="en-US"/>
              </w:rPr>
              <w:t>A national or regional risk assessment is in place</w:t>
            </w:r>
            <w:r w:rsidRPr="00444C3E">
              <w:rPr>
                <w:rFonts w:ascii="Cambria" w:hAnsi="Cambria"/>
                <w:color w:val="000000"/>
                <w:sz w:val="18"/>
                <w:szCs w:val="18"/>
                <w:lang w:val="en-GB" w:eastAsia="en-US"/>
              </w:rPr>
              <w:t>.</w:t>
            </w:r>
            <w:r w:rsidRPr="00444C3E">
              <w:rPr>
                <w:rFonts w:ascii="Cambria" w:hAnsi="Cambria"/>
                <w:color w:val="000000"/>
                <w:sz w:val="18"/>
                <w:szCs w:val="18"/>
                <w:vertAlign w:val="superscript"/>
                <w:lang w:val="en-GB" w:eastAsia="en-US"/>
              </w:rPr>
              <w:footnoteReference w:id="11"/>
            </w:r>
            <w:r w:rsidRPr="00444C3E">
              <w:rPr>
                <w:rFonts w:ascii="Cambria" w:hAnsi="Cambria"/>
                <w:i/>
                <w:color w:val="000000"/>
                <w:sz w:val="18"/>
                <w:szCs w:val="18"/>
                <w:lang w:val="en-GB" w:eastAsia="en-US"/>
              </w:rPr>
              <w:t xml:space="preserve"> </w:t>
            </w:r>
            <w:r w:rsidRPr="00444C3E">
              <w:rPr>
                <w:rFonts w:ascii="Cambria" w:hAnsi="Cambria"/>
                <w:i/>
                <w:noProof/>
                <w:sz w:val="18"/>
                <w:szCs w:val="18"/>
                <w:lang w:val="en-GB" w:eastAsia="en-US"/>
              </w:rPr>
              <w:t>The relevant operational programme contains a reference to the name of the plan or framework and indicates where it is or its different elements are published (in a form of a link)</w:t>
            </w:r>
          </w:p>
        </w:tc>
        <w:tc>
          <w:tcPr>
            <w:tcW w:w="5103" w:type="dxa"/>
            <w:shd w:val="clear" w:color="auto" w:fill="EAF1DD" w:themeFill="accent3" w:themeFillTint="33"/>
            <w:tcMar>
              <w:left w:w="28" w:type="dxa"/>
              <w:right w:w="28" w:type="dxa"/>
            </w:tcMar>
            <w:vAlign w:val="center"/>
          </w:tcPr>
          <w:p w14:paraId="45F0DCD2" w14:textId="77777777" w:rsidR="006B6151" w:rsidRPr="00444C3E" w:rsidRDefault="006B6151" w:rsidP="00B1082C">
            <w:pPr>
              <w:pStyle w:val="DAVA"/>
              <w:spacing w:before="60"/>
              <w:rPr>
                <w:rFonts w:ascii="Cambria" w:hAnsi="Cambria"/>
                <w:sz w:val="18"/>
                <w:szCs w:val="18"/>
              </w:rPr>
            </w:pPr>
            <w:r w:rsidRPr="00444C3E">
              <w:rPr>
                <w:rFonts w:ascii="Cambria" w:hAnsi="Cambria"/>
                <w:sz w:val="18"/>
                <w:szCs w:val="18"/>
              </w:rPr>
              <w:t>Schválení plánů pro zvládání povodňových rizik v souladu se Směrnicí 2007/60/ES o vyhodnocování a zvládání povodňových rizik.</w:t>
            </w:r>
          </w:p>
          <w:p w14:paraId="44544EB0" w14:textId="77777777" w:rsidR="006B6151" w:rsidRPr="00444C3E" w:rsidRDefault="006B6151" w:rsidP="00B1082C">
            <w:pPr>
              <w:pStyle w:val="DAVA"/>
              <w:spacing w:before="60"/>
              <w:rPr>
                <w:rFonts w:ascii="Cambria" w:hAnsi="Cambria"/>
                <w:sz w:val="18"/>
                <w:szCs w:val="18"/>
              </w:rPr>
            </w:pPr>
            <w:r w:rsidRPr="00444C3E">
              <w:rPr>
                <w:rFonts w:ascii="Cambria" w:hAnsi="Cambria"/>
                <w:sz w:val="18"/>
                <w:szCs w:val="18"/>
              </w:rPr>
              <w:t>Schválení aktualizovaných plánů povodí v souladu s Rámcovou směrnicí o vodách 200/60/ES.</w:t>
            </w:r>
          </w:p>
          <w:p w14:paraId="715B8D14" w14:textId="77777777" w:rsidR="006B6151" w:rsidRPr="00444C3E" w:rsidRDefault="006B6151" w:rsidP="00B1082C">
            <w:pPr>
              <w:pStyle w:val="DAVA"/>
              <w:spacing w:before="60"/>
              <w:rPr>
                <w:rFonts w:ascii="Cambria" w:hAnsi="Cambria"/>
                <w:sz w:val="18"/>
                <w:szCs w:val="18"/>
              </w:rPr>
            </w:pPr>
            <w:r w:rsidRPr="00444C3E">
              <w:rPr>
                <w:rFonts w:ascii="Cambria" w:hAnsi="Cambria"/>
                <w:sz w:val="18"/>
                <w:szCs w:val="18"/>
              </w:rPr>
              <w:t xml:space="preserve">Schválení Koncepce environmentální bezpečnosti 2015-2020 s výhledem do roku 2030. </w:t>
            </w:r>
          </w:p>
          <w:p w14:paraId="60401B9E" w14:textId="77777777" w:rsidR="006B6151" w:rsidRPr="00444C3E" w:rsidRDefault="006B6151" w:rsidP="00B1082C">
            <w:pPr>
              <w:pStyle w:val="DAVA"/>
              <w:spacing w:before="60"/>
              <w:rPr>
                <w:rFonts w:ascii="Cambria" w:hAnsi="Cambria"/>
                <w:sz w:val="18"/>
                <w:szCs w:val="18"/>
              </w:rPr>
            </w:pPr>
            <w:r w:rsidRPr="00444C3E">
              <w:rPr>
                <w:rFonts w:ascii="Cambria" w:hAnsi="Cambria"/>
                <w:sz w:val="18"/>
                <w:szCs w:val="18"/>
              </w:rPr>
              <w:t xml:space="preserve">Schválení Strategie přizpůsobení se změně klimatu v podmínkách ČR (adaptační strategie). </w:t>
            </w:r>
          </w:p>
          <w:p w14:paraId="1670770F" w14:textId="77777777" w:rsidR="006B6151" w:rsidRPr="00444C3E" w:rsidRDefault="006B6151" w:rsidP="00B1082C">
            <w:pPr>
              <w:pStyle w:val="DAVA"/>
              <w:spacing w:before="60"/>
              <w:rPr>
                <w:rFonts w:ascii="Cambria" w:hAnsi="Cambria"/>
                <w:sz w:val="18"/>
                <w:szCs w:val="18"/>
              </w:rPr>
            </w:pPr>
            <w:r w:rsidRPr="00444C3E">
              <w:rPr>
                <w:rFonts w:ascii="Cambria" w:hAnsi="Cambria"/>
                <w:sz w:val="18"/>
                <w:szCs w:val="18"/>
              </w:rPr>
              <w:t>Kromě výše uvedených opatření bude podporována Národní platforma pro omezování rizika katastrof</w:t>
            </w:r>
            <w:r w:rsidRPr="00444C3E">
              <w:rPr>
                <w:rStyle w:val="Znakapoznpodarou"/>
                <w:rFonts w:ascii="Cambria" w:hAnsi="Cambria"/>
                <w:sz w:val="18"/>
                <w:szCs w:val="18"/>
              </w:rPr>
              <w:footnoteReference w:id="12"/>
            </w:r>
            <w:r w:rsidRPr="00444C3E">
              <w:rPr>
                <w:rFonts w:ascii="Cambria" w:hAnsi="Cambria"/>
                <w:sz w:val="18"/>
                <w:szCs w:val="18"/>
              </w:rPr>
              <w:t>.</w:t>
            </w:r>
          </w:p>
        </w:tc>
        <w:tc>
          <w:tcPr>
            <w:tcW w:w="1276" w:type="dxa"/>
            <w:shd w:val="clear" w:color="auto" w:fill="EAF1DD" w:themeFill="accent3" w:themeFillTint="33"/>
            <w:tcMar>
              <w:left w:w="28" w:type="dxa"/>
              <w:right w:w="28" w:type="dxa"/>
            </w:tcMar>
            <w:vAlign w:val="center"/>
          </w:tcPr>
          <w:p w14:paraId="73943B2F" w14:textId="77777777" w:rsidR="006B6151" w:rsidRPr="00444C3E" w:rsidRDefault="006B6151" w:rsidP="00B1082C">
            <w:pPr>
              <w:pStyle w:val="DAVA"/>
              <w:spacing w:before="60"/>
              <w:jc w:val="center"/>
              <w:rPr>
                <w:rFonts w:ascii="Cambria" w:hAnsi="Cambria"/>
                <w:sz w:val="18"/>
                <w:szCs w:val="18"/>
              </w:rPr>
            </w:pPr>
            <w:r w:rsidRPr="00444C3E">
              <w:rPr>
                <w:rFonts w:ascii="Cambria" w:hAnsi="Cambria"/>
                <w:sz w:val="18"/>
                <w:szCs w:val="18"/>
              </w:rPr>
              <w:t>XII 2015</w:t>
            </w:r>
          </w:p>
          <w:p w14:paraId="18AF77E2" w14:textId="77777777" w:rsidR="006B6151" w:rsidRPr="00444C3E" w:rsidRDefault="006B6151" w:rsidP="00B1082C">
            <w:pPr>
              <w:pStyle w:val="DAVA"/>
              <w:spacing w:before="60"/>
              <w:jc w:val="center"/>
              <w:rPr>
                <w:rFonts w:ascii="Cambria" w:hAnsi="Cambria"/>
                <w:sz w:val="18"/>
                <w:szCs w:val="18"/>
              </w:rPr>
            </w:pPr>
          </w:p>
          <w:p w14:paraId="1E96CBAE" w14:textId="77777777" w:rsidR="006B6151" w:rsidRPr="00444C3E" w:rsidRDefault="006B6151" w:rsidP="00B1082C">
            <w:pPr>
              <w:pStyle w:val="DAVA"/>
              <w:spacing w:before="60"/>
              <w:jc w:val="center"/>
              <w:rPr>
                <w:rFonts w:ascii="Cambria" w:hAnsi="Cambria"/>
                <w:sz w:val="18"/>
                <w:szCs w:val="18"/>
              </w:rPr>
            </w:pPr>
          </w:p>
        </w:tc>
      </w:tr>
      <w:tr w:rsidR="006B6151" w:rsidRPr="006E43D9" w14:paraId="08F1175B" w14:textId="77777777" w:rsidTr="00B1082C">
        <w:trPr>
          <w:trHeight w:val="416"/>
        </w:trPr>
        <w:tc>
          <w:tcPr>
            <w:tcW w:w="2127" w:type="dxa"/>
            <w:shd w:val="clear" w:color="auto" w:fill="EAF1DD" w:themeFill="accent3" w:themeFillTint="33"/>
            <w:tcMar>
              <w:left w:w="28" w:type="dxa"/>
              <w:right w:w="28" w:type="dxa"/>
            </w:tcMar>
          </w:tcPr>
          <w:p w14:paraId="0A637A65" w14:textId="77777777" w:rsidR="006B6151" w:rsidRPr="00444C3E" w:rsidRDefault="006B6151" w:rsidP="00B1082C">
            <w:pPr>
              <w:spacing w:before="60" w:after="0" w:line="240" w:lineRule="auto"/>
              <w:ind w:left="255"/>
              <w:rPr>
                <w:rFonts w:ascii="Cambria" w:eastAsia="Times New Roman" w:hAnsi="Cambria"/>
                <w:sz w:val="18"/>
                <w:szCs w:val="18"/>
                <w:lang w:eastAsia="cs-CZ"/>
              </w:rPr>
            </w:pPr>
            <w:r w:rsidRPr="00444C3E">
              <w:rPr>
                <w:rFonts w:ascii="Cambria" w:eastAsia="Times New Roman" w:hAnsi="Cambria"/>
                <w:sz w:val="18"/>
                <w:szCs w:val="18"/>
                <w:lang w:eastAsia="cs-CZ"/>
              </w:rPr>
              <w:t xml:space="preserve">- </w:t>
            </w:r>
            <w:r w:rsidRPr="00444C3E">
              <w:rPr>
                <w:rFonts w:ascii="Cambria" w:eastAsia="Times New Roman" w:hAnsi="Cambria"/>
                <w:b/>
                <w:sz w:val="18"/>
                <w:szCs w:val="18"/>
                <w:lang w:eastAsia="cs-CZ"/>
              </w:rPr>
              <w:t>popis postupu, metodiky, metod</w:t>
            </w:r>
            <w:r w:rsidRPr="00444C3E">
              <w:rPr>
                <w:rFonts w:ascii="Cambria" w:eastAsia="Times New Roman" w:hAnsi="Cambria"/>
                <w:sz w:val="18"/>
                <w:szCs w:val="18"/>
                <w:lang w:eastAsia="cs-CZ"/>
              </w:rPr>
              <w:t xml:space="preserve"> a jiných než citlivých údajů </w:t>
            </w:r>
            <w:r w:rsidRPr="00444C3E">
              <w:rPr>
                <w:rFonts w:ascii="Cambria" w:eastAsia="Times New Roman" w:hAnsi="Cambria"/>
                <w:b/>
                <w:sz w:val="18"/>
                <w:szCs w:val="18"/>
                <w:lang w:eastAsia="cs-CZ"/>
              </w:rPr>
              <w:t>používaných</w:t>
            </w:r>
            <w:r w:rsidRPr="00444C3E">
              <w:rPr>
                <w:rFonts w:ascii="Cambria" w:eastAsia="Times New Roman" w:hAnsi="Cambria"/>
                <w:sz w:val="18"/>
                <w:szCs w:val="18"/>
                <w:lang w:eastAsia="cs-CZ"/>
              </w:rPr>
              <w:t xml:space="preserve"> </w:t>
            </w:r>
            <w:r w:rsidRPr="00444C3E">
              <w:rPr>
                <w:rFonts w:ascii="Cambria" w:eastAsia="Times New Roman" w:hAnsi="Cambria"/>
                <w:b/>
                <w:sz w:val="18"/>
                <w:szCs w:val="18"/>
                <w:lang w:eastAsia="cs-CZ"/>
              </w:rPr>
              <w:t xml:space="preserve">pro účely posuzování rizik, </w:t>
            </w:r>
            <w:r w:rsidRPr="00444C3E">
              <w:rPr>
                <w:rFonts w:ascii="Cambria" w:eastAsia="Times New Roman" w:hAnsi="Cambria"/>
                <w:sz w:val="18"/>
                <w:szCs w:val="18"/>
                <w:lang w:eastAsia="cs-CZ"/>
              </w:rPr>
              <w:t xml:space="preserve">jakož i </w:t>
            </w:r>
            <w:r w:rsidRPr="00444C3E">
              <w:rPr>
                <w:rFonts w:ascii="Cambria" w:eastAsia="Times New Roman" w:hAnsi="Cambria"/>
                <w:b/>
                <w:sz w:val="18"/>
                <w:szCs w:val="18"/>
                <w:lang w:eastAsia="cs-CZ"/>
              </w:rPr>
              <w:t>kritéria pro stanovování investičních priorit</w:t>
            </w:r>
            <w:r w:rsidRPr="00444C3E">
              <w:rPr>
                <w:rFonts w:ascii="Cambria" w:eastAsia="Times New Roman" w:hAnsi="Cambria"/>
                <w:sz w:val="18"/>
                <w:szCs w:val="18"/>
                <w:lang w:eastAsia="cs-CZ"/>
              </w:rPr>
              <w:t xml:space="preserve"> v závislosti na riziku,</w:t>
            </w:r>
          </w:p>
        </w:tc>
        <w:tc>
          <w:tcPr>
            <w:tcW w:w="5386" w:type="dxa"/>
            <w:shd w:val="clear" w:color="auto" w:fill="EAF1DD" w:themeFill="accent3" w:themeFillTint="33"/>
            <w:tcMar>
              <w:left w:w="28" w:type="dxa"/>
              <w:right w:w="28" w:type="dxa"/>
            </w:tcMar>
            <w:vAlign w:val="center"/>
          </w:tcPr>
          <w:p w14:paraId="255B180F" w14:textId="77777777" w:rsidR="006B6151" w:rsidRPr="00444C3E" w:rsidRDefault="006B6151" w:rsidP="00B1082C">
            <w:pPr>
              <w:keepNext/>
              <w:widowControl w:val="0"/>
              <w:numPr>
                <w:ilvl w:val="0"/>
                <w:numId w:val="3"/>
              </w:numPr>
              <w:spacing w:before="60" w:after="0" w:line="240" w:lineRule="auto"/>
              <w:ind w:left="256" w:hanging="142"/>
              <w:contextualSpacing/>
              <w:rPr>
                <w:rFonts w:ascii="Cambria" w:hAnsi="Cambria"/>
                <w:i/>
                <w:color w:val="000000"/>
                <w:sz w:val="18"/>
                <w:szCs w:val="18"/>
                <w:lang w:val="en-GB" w:eastAsia="cs-CZ"/>
              </w:rPr>
            </w:pPr>
            <w:r w:rsidRPr="00444C3E">
              <w:rPr>
                <w:rFonts w:ascii="Cambria" w:hAnsi="Cambria"/>
                <w:i/>
                <w:color w:val="000000"/>
                <w:sz w:val="18"/>
                <w:szCs w:val="18"/>
                <w:lang w:val="en-GB" w:eastAsia="cs-CZ"/>
              </w:rPr>
              <w:t>The existing national or regional risk assessments fulfil the requirements of a risk assessment process (ISO 31010)  including:</w:t>
            </w:r>
          </w:p>
          <w:p w14:paraId="32B6C719" w14:textId="77777777" w:rsidR="006B6151" w:rsidRPr="00444C3E" w:rsidRDefault="006B6151" w:rsidP="00B1082C">
            <w:pPr>
              <w:keepNext/>
              <w:widowControl w:val="0"/>
              <w:numPr>
                <w:ilvl w:val="0"/>
                <w:numId w:val="8"/>
              </w:numPr>
              <w:spacing w:before="60" w:after="0" w:line="240" w:lineRule="auto"/>
              <w:ind w:left="398" w:hanging="142"/>
              <w:contextualSpacing/>
              <w:rPr>
                <w:rFonts w:ascii="Cambria" w:hAnsi="Cambria"/>
                <w:i/>
                <w:color w:val="000000"/>
                <w:sz w:val="18"/>
                <w:szCs w:val="18"/>
                <w:lang w:val="en-GB" w:eastAsia="cs-CZ"/>
              </w:rPr>
            </w:pPr>
            <w:r w:rsidRPr="00444C3E">
              <w:rPr>
                <w:rFonts w:ascii="Cambria" w:hAnsi="Cambria"/>
                <w:i/>
                <w:color w:val="000000"/>
                <w:sz w:val="18"/>
                <w:szCs w:val="18"/>
                <w:lang w:val="en-GB" w:eastAsia="cs-CZ"/>
              </w:rPr>
              <w:t>The process of producing a national or regional risk assessment has involved a wide range of actors and stakeholders (e.g. one coordinating authority has been designated; working groups involving public authorities from different levels, research and business, non-governmental organisations have been planned);</w:t>
            </w:r>
          </w:p>
          <w:p w14:paraId="2900E725" w14:textId="77777777" w:rsidR="006B6151" w:rsidRPr="00444C3E" w:rsidRDefault="006B6151" w:rsidP="00B1082C">
            <w:pPr>
              <w:keepNext/>
              <w:widowControl w:val="0"/>
              <w:numPr>
                <w:ilvl w:val="0"/>
                <w:numId w:val="8"/>
              </w:numPr>
              <w:spacing w:before="60" w:after="0" w:line="240" w:lineRule="auto"/>
              <w:ind w:left="398" w:hanging="142"/>
              <w:contextualSpacing/>
              <w:rPr>
                <w:rFonts w:ascii="Cambria" w:hAnsi="Cambria"/>
                <w:i/>
                <w:color w:val="000000"/>
                <w:sz w:val="18"/>
                <w:szCs w:val="18"/>
                <w:lang w:val="en-GB" w:eastAsia="cs-CZ"/>
              </w:rPr>
            </w:pPr>
            <w:r w:rsidRPr="00444C3E">
              <w:rPr>
                <w:rFonts w:ascii="Cambria" w:hAnsi="Cambria"/>
                <w:i/>
                <w:color w:val="000000"/>
                <w:sz w:val="18"/>
                <w:szCs w:val="18"/>
                <w:lang w:val="en-GB" w:eastAsia="cs-CZ"/>
              </w:rPr>
              <w:t>The risk assessment has considered all three categories of impacts (human, economic and environmental, and political and social impacts);</w:t>
            </w:r>
          </w:p>
          <w:p w14:paraId="22B040D9" w14:textId="77777777" w:rsidR="006B6151" w:rsidRPr="00444C3E" w:rsidRDefault="006B6151" w:rsidP="00B1082C">
            <w:pPr>
              <w:keepNext/>
              <w:widowControl w:val="0"/>
              <w:numPr>
                <w:ilvl w:val="0"/>
                <w:numId w:val="8"/>
              </w:numPr>
              <w:spacing w:before="60" w:after="0" w:line="240" w:lineRule="auto"/>
              <w:ind w:left="398" w:hanging="142"/>
              <w:contextualSpacing/>
              <w:rPr>
                <w:rFonts w:ascii="Cambria" w:hAnsi="Cambria"/>
                <w:i/>
                <w:color w:val="000000"/>
                <w:sz w:val="18"/>
                <w:szCs w:val="18"/>
                <w:lang w:val="en-GB" w:eastAsia="cs-CZ"/>
              </w:rPr>
            </w:pPr>
            <w:r w:rsidRPr="00444C3E">
              <w:rPr>
                <w:rFonts w:ascii="Cambria" w:hAnsi="Cambria"/>
                <w:i/>
                <w:color w:val="000000"/>
                <w:sz w:val="18"/>
                <w:szCs w:val="18"/>
                <w:lang w:val="en-GB" w:eastAsia="cs-CZ"/>
              </w:rPr>
              <w:t>Stakeholders and interested parties have been widely consulted on the draft risk assessments and information has been disseminated towards the general public on the process and the outcomes of risk assessment;</w:t>
            </w:r>
          </w:p>
          <w:p w14:paraId="5EB48678" w14:textId="77777777" w:rsidR="006B6151" w:rsidRPr="00444C3E" w:rsidRDefault="006B6151" w:rsidP="00B1082C">
            <w:pPr>
              <w:keepNext/>
              <w:widowControl w:val="0"/>
              <w:numPr>
                <w:ilvl w:val="0"/>
                <w:numId w:val="8"/>
              </w:numPr>
              <w:spacing w:before="60" w:after="0" w:line="240" w:lineRule="auto"/>
              <w:ind w:left="398" w:hanging="142"/>
              <w:contextualSpacing/>
              <w:rPr>
                <w:rFonts w:ascii="Cambria" w:hAnsi="Cambria"/>
                <w:i/>
                <w:color w:val="000000"/>
                <w:sz w:val="18"/>
                <w:szCs w:val="18"/>
                <w:lang w:val="en-GB" w:eastAsia="cs-CZ"/>
              </w:rPr>
            </w:pPr>
            <w:r w:rsidRPr="00444C3E">
              <w:rPr>
                <w:rFonts w:ascii="Cambria" w:hAnsi="Cambria"/>
                <w:i/>
                <w:color w:val="000000"/>
                <w:sz w:val="18"/>
                <w:szCs w:val="18"/>
                <w:lang w:val="en-GB" w:eastAsia="cs-CZ"/>
              </w:rPr>
              <w:t>Cross-border issues have been addressed.</w:t>
            </w:r>
          </w:p>
          <w:p w14:paraId="4E9787EE" w14:textId="77777777" w:rsidR="006B6151" w:rsidRPr="00444C3E" w:rsidRDefault="006B6151" w:rsidP="00B1082C">
            <w:pPr>
              <w:pStyle w:val="DAVA"/>
              <w:numPr>
                <w:ilvl w:val="0"/>
                <w:numId w:val="4"/>
              </w:numPr>
              <w:spacing w:before="60"/>
              <w:ind w:left="256" w:hanging="142"/>
              <w:jc w:val="left"/>
              <w:rPr>
                <w:rFonts w:ascii="Cambria" w:hAnsi="Cambria"/>
                <w:i/>
                <w:sz w:val="18"/>
                <w:szCs w:val="18"/>
              </w:rPr>
            </w:pPr>
            <w:r w:rsidRPr="00444C3E">
              <w:rPr>
                <w:rFonts w:ascii="Cambria" w:hAnsi="Cambria"/>
                <w:i/>
                <w:color w:val="000000"/>
                <w:sz w:val="18"/>
                <w:szCs w:val="18"/>
                <w:lang w:val="en-GB" w:eastAsia="en-US"/>
              </w:rPr>
              <w:t>The prioritisation of investments has been based on the risk assessment, providing the list of major risks to treat.</w:t>
            </w:r>
          </w:p>
        </w:tc>
        <w:tc>
          <w:tcPr>
            <w:tcW w:w="5103" w:type="dxa"/>
            <w:shd w:val="clear" w:color="auto" w:fill="EAF1DD" w:themeFill="accent3" w:themeFillTint="33"/>
            <w:tcMar>
              <w:left w:w="28" w:type="dxa"/>
              <w:right w:w="28" w:type="dxa"/>
            </w:tcMar>
            <w:vAlign w:val="center"/>
          </w:tcPr>
          <w:p w14:paraId="2646833D" w14:textId="77777777" w:rsidR="006B6151" w:rsidRPr="00444C3E" w:rsidRDefault="006B6151" w:rsidP="00B1082C">
            <w:pPr>
              <w:pStyle w:val="DAVA"/>
              <w:spacing w:before="60"/>
              <w:rPr>
                <w:rFonts w:ascii="Cambria" w:hAnsi="Cambria"/>
                <w:sz w:val="18"/>
                <w:szCs w:val="18"/>
              </w:rPr>
            </w:pPr>
            <w:r w:rsidRPr="00444C3E">
              <w:rPr>
                <w:rFonts w:ascii="Cambria" w:hAnsi="Cambria"/>
                <w:sz w:val="18"/>
                <w:szCs w:val="18"/>
              </w:rPr>
              <w:t>Zpracování komplexní studie dopadů, zranitelnosti a zdrojů</w:t>
            </w:r>
            <w:r w:rsidRPr="00444C3E">
              <w:rPr>
                <w:rFonts w:ascii="Cambria" w:hAnsi="Cambria"/>
                <w:b/>
                <w:sz w:val="18"/>
                <w:szCs w:val="18"/>
              </w:rPr>
              <w:t xml:space="preserve"> </w:t>
            </w:r>
            <w:r w:rsidRPr="00444C3E">
              <w:rPr>
                <w:rFonts w:ascii="Cambria" w:hAnsi="Cambria"/>
                <w:sz w:val="18"/>
                <w:szCs w:val="18"/>
              </w:rPr>
              <w:t>rizik souvisejících se změnou klimatu pro nejohroženější sektory.</w:t>
            </w:r>
          </w:p>
          <w:p w14:paraId="7A258376" w14:textId="77777777" w:rsidR="006B6151" w:rsidRPr="00444C3E" w:rsidRDefault="006B6151" w:rsidP="00B1082C">
            <w:pPr>
              <w:pStyle w:val="DAVA"/>
              <w:spacing w:before="60"/>
              <w:rPr>
                <w:rFonts w:ascii="Cambria" w:hAnsi="Cambria"/>
                <w:sz w:val="18"/>
                <w:szCs w:val="18"/>
              </w:rPr>
            </w:pPr>
            <w:r w:rsidRPr="00444C3E">
              <w:rPr>
                <w:rFonts w:ascii="Cambria" w:hAnsi="Cambria"/>
                <w:sz w:val="18"/>
                <w:szCs w:val="18"/>
              </w:rPr>
              <w:t>Definování kritérií pro stanovování investičních priorit v závislosti na riziku.</w:t>
            </w:r>
          </w:p>
          <w:p w14:paraId="0C3150F0" w14:textId="77777777" w:rsidR="006B6151" w:rsidRPr="00444C3E" w:rsidRDefault="006B6151" w:rsidP="00B1082C">
            <w:pPr>
              <w:pStyle w:val="DAVA"/>
              <w:spacing w:before="60"/>
              <w:rPr>
                <w:rFonts w:ascii="Cambria" w:hAnsi="Cambria"/>
                <w:sz w:val="18"/>
                <w:szCs w:val="18"/>
              </w:rPr>
            </w:pPr>
            <w:r w:rsidRPr="00444C3E">
              <w:rPr>
                <w:rFonts w:ascii="Cambria" w:hAnsi="Cambria"/>
                <w:sz w:val="18"/>
                <w:szCs w:val="18"/>
              </w:rPr>
              <w:t>Realizace zákonných povinností souvisejících s přípravou národních či regionálních materiálů dle jejich typu (veřejného či utajovaného) – např. SEA (vč. veřejného projednání), připomínková řízení.</w:t>
            </w:r>
          </w:p>
          <w:p w14:paraId="5AFABF75" w14:textId="77777777" w:rsidR="006B6151" w:rsidRPr="00444C3E" w:rsidRDefault="006B6151" w:rsidP="00B1082C">
            <w:pPr>
              <w:pStyle w:val="DAVA"/>
              <w:spacing w:before="60"/>
              <w:rPr>
                <w:rFonts w:ascii="Cambria" w:hAnsi="Cambria"/>
                <w:sz w:val="18"/>
                <w:szCs w:val="18"/>
              </w:rPr>
            </w:pPr>
            <w:r w:rsidRPr="00444C3E">
              <w:rPr>
                <w:rFonts w:ascii="Cambria" w:hAnsi="Cambria"/>
                <w:sz w:val="18"/>
                <w:szCs w:val="18"/>
              </w:rPr>
              <w:t>Kromě výše uvedených opatření bude podporována Národní platforma pro omezování rizika katastrof.</w:t>
            </w:r>
          </w:p>
        </w:tc>
        <w:tc>
          <w:tcPr>
            <w:tcW w:w="1276" w:type="dxa"/>
            <w:shd w:val="clear" w:color="auto" w:fill="EAF1DD" w:themeFill="accent3" w:themeFillTint="33"/>
            <w:tcMar>
              <w:left w:w="28" w:type="dxa"/>
              <w:right w:w="28" w:type="dxa"/>
            </w:tcMar>
            <w:vAlign w:val="center"/>
          </w:tcPr>
          <w:p w14:paraId="608FD527" w14:textId="77777777" w:rsidR="006B6151" w:rsidRPr="00444C3E" w:rsidRDefault="006B6151" w:rsidP="00B1082C">
            <w:pPr>
              <w:pStyle w:val="DAVA"/>
              <w:spacing w:before="60"/>
              <w:jc w:val="center"/>
              <w:rPr>
                <w:rFonts w:ascii="Cambria" w:hAnsi="Cambria"/>
                <w:sz w:val="18"/>
                <w:szCs w:val="18"/>
              </w:rPr>
            </w:pPr>
            <w:r w:rsidRPr="00444C3E">
              <w:rPr>
                <w:rFonts w:ascii="Cambria" w:hAnsi="Cambria"/>
                <w:sz w:val="18"/>
                <w:szCs w:val="18"/>
              </w:rPr>
              <w:t xml:space="preserve"> XII 2015 </w:t>
            </w:r>
          </w:p>
        </w:tc>
      </w:tr>
      <w:tr w:rsidR="006B6151" w:rsidRPr="006E43D9" w14:paraId="458D0C66" w14:textId="77777777" w:rsidTr="00B1082C">
        <w:trPr>
          <w:trHeight w:val="416"/>
        </w:trPr>
        <w:tc>
          <w:tcPr>
            <w:tcW w:w="2127" w:type="dxa"/>
            <w:shd w:val="clear" w:color="auto" w:fill="EAF1DD" w:themeFill="accent3" w:themeFillTint="33"/>
            <w:tcMar>
              <w:left w:w="28" w:type="dxa"/>
              <w:right w:w="28" w:type="dxa"/>
            </w:tcMar>
          </w:tcPr>
          <w:p w14:paraId="2419BDE6" w14:textId="77777777" w:rsidR="006B6151" w:rsidRPr="00444C3E" w:rsidRDefault="006B6151" w:rsidP="00B1082C">
            <w:pPr>
              <w:spacing w:before="60" w:after="0" w:line="240" w:lineRule="auto"/>
              <w:ind w:left="255"/>
              <w:rPr>
                <w:rFonts w:ascii="Cambria" w:eastAsia="Times New Roman" w:hAnsi="Cambria"/>
                <w:sz w:val="18"/>
                <w:szCs w:val="18"/>
                <w:lang w:eastAsia="cs-CZ"/>
              </w:rPr>
            </w:pPr>
            <w:r w:rsidRPr="00444C3E">
              <w:rPr>
                <w:rFonts w:ascii="Cambria" w:eastAsia="Times New Roman" w:hAnsi="Cambria"/>
                <w:sz w:val="18"/>
                <w:szCs w:val="18"/>
                <w:lang w:eastAsia="cs-CZ"/>
              </w:rPr>
              <w:t xml:space="preserve">- </w:t>
            </w:r>
            <w:r w:rsidRPr="00444C3E">
              <w:rPr>
                <w:rFonts w:ascii="Cambria" w:eastAsia="Times New Roman" w:hAnsi="Cambria"/>
                <w:b/>
                <w:sz w:val="18"/>
                <w:szCs w:val="18"/>
                <w:lang w:eastAsia="cs-CZ"/>
              </w:rPr>
              <w:t xml:space="preserve">popis scénářů s jedním rizikem a s </w:t>
            </w:r>
            <w:r w:rsidRPr="00444C3E">
              <w:rPr>
                <w:rFonts w:ascii="Cambria" w:eastAsia="Times New Roman" w:hAnsi="Cambria"/>
                <w:b/>
                <w:sz w:val="18"/>
                <w:szCs w:val="18"/>
                <w:lang w:eastAsia="cs-CZ"/>
              </w:rPr>
              <w:lastRenderedPageBreak/>
              <w:t>více riziky</w:t>
            </w:r>
            <w:r w:rsidRPr="00444C3E">
              <w:rPr>
                <w:rFonts w:ascii="Cambria" w:eastAsia="Times New Roman" w:hAnsi="Cambria"/>
                <w:sz w:val="18"/>
                <w:szCs w:val="18"/>
                <w:lang w:eastAsia="cs-CZ"/>
              </w:rPr>
              <w:t>;</w:t>
            </w:r>
          </w:p>
        </w:tc>
        <w:tc>
          <w:tcPr>
            <w:tcW w:w="5386" w:type="dxa"/>
            <w:shd w:val="clear" w:color="auto" w:fill="EAF1DD" w:themeFill="accent3" w:themeFillTint="33"/>
            <w:tcMar>
              <w:left w:w="28" w:type="dxa"/>
              <w:right w:w="28" w:type="dxa"/>
            </w:tcMar>
            <w:vAlign w:val="center"/>
          </w:tcPr>
          <w:p w14:paraId="0A96F11B" w14:textId="77777777" w:rsidR="006B6151" w:rsidRPr="00444C3E" w:rsidRDefault="006B6151" w:rsidP="00B1082C">
            <w:pPr>
              <w:keepNext/>
              <w:widowControl w:val="0"/>
              <w:numPr>
                <w:ilvl w:val="0"/>
                <w:numId w:val="3"/>
              </w:numPr>
              <w:spacing w:before="60" w:after="0" w:line="240" w:lineRule="auto"/>
              <w:ind w:left="256" w:hanging="142"/>
              <w:contextualSpacing/>
              <w:rPr>
                <w:rFonts w:ascii="Cambria" w:eastAsia="Times New Roman" w:hAnsi="Cambria"/>
                <w:i/>
                <w:sz w:val="18"/>
                <w:szCs w:val="18"/>
                <w:lang w:eastAsia="cs-CZ"/>
              </w:rPr>
            </w:pPr>
            <w:r w:rsidRPr="00444C3E">
              <w:rPr>
                <w:rFonts w:ascii="Cambria" w:hAnsi="Cambria"/>
                <w:i/>
                <w:color w:val="000000"/>
                <w:sz w:val="18"/>
                <w:szCs w:val="18"/>
                <w:lang w:val="en-GB" w:eastAsia="cs-CZ"/>
              </w:rPr>
              <w:lastRenderedPageBreak/>
              <w:t>Single-risk and multi-risk scenarios have been elaborated</w:t>
            </w:r>
            <w:r w:rsidRPr="00444C3E">
              <w:rPr>
                <w:rFonts w:ascii="Cambria" w:hAnsi="Cambria"/>
                <w:b/>
                <w:i/>
                <w:color w:val="000000"/>
                <w:sz w:val="18"/>
                <w:szCs w:val="18"/>
                <w:vertAlign w:val="superscript"/>
                <w:lang w:val="en-GB" w:eastAsia="cs-CZ"/>
              </w:rPr>
              <w:t xml:space="preserve"> </w:t>
            </w:r>
            <w:r w:rsidRPr="00444C3E">
              <w:rPr>
                <w:rFonts w:ascii="Cambria" w:hAnsi="Cambria"/>
                <w:i/>
                <w:color w:val="000000"/>
                <w:sz w:val="18"/>
                <w:szCs w:val="18"/>
                <w:vertAlign w:val="superscript"/>
                <w:lang w:val="en-GB" w:eastAsia="cs-CZ"/>
              </w:rPr>
              <w:footnoteReference w:id="13"/>
            </w:r>
          </w:p>
          <w:p w14:paraId="5BAC5666" w14:textId="77777777" w:rsidR="006B6151" w:rsidRPr="00444C3E" w:rsidRDefault="006B6151" w:rsidP="00B1082C">
            <w:pPr>
              <w:keepNext/>
              <w:widowControl w:val="0"/>
              <w:numPr>
                <w:ilvl w:val="0"/>
                <w:numId w:val="3"/>
              </w:numPr>
              <w:spacing w:before="60" w:after="0" w:line="240" w:lineRule="auto"/>
              <w:ind w:left="256" w:hanging="142"/>
              <w:contextualSpacing/>
              <w:rPr>
                <w:rFonts w:ascii="Cambria" w:eastAsia="Times New Roman" w:hAnsi="Cambria"/>
                <w:i/>
                <w:sz w:val="18"/>
                <w:szCs w:val="18"/>
                <w:lang w:eastAsia="cs-CZ"/>
              </w:rPr>
            </w:pPr>
            <w:r w:rsidRPr="00444C3E">
              <w:rPr>
                <w:rFonts w:ascii="Cambria" w:eastAsia="Times New Roman" w:hAnsi="Cambria"/>
                <w:i/>
                <w:color w:val="000000"/>
                <w:sz w:val="18"/>
                <w:szCs w:val="18"/>
                <w:lang w:val="en-GB"/>
              </w:rPr>
              <w:t>A description of these scenarios is available.</w:t>
            </w:r>
          </w:p>
        </w:tc>
        <w:tc>
          <w:tcPr>
            <w:tcW w:w="5103" w:type="dxa"/>
            <w:shd w:val="clear" w:color="auto" w:fill="EAF1DD" w:themeFill="accent3" w:themeFillTint="33"/>
            <w:tcMar>
              <w:left w:w="28" w:type="dxa"/>
              <w:right w:w="28" w:type="dxa"/>
            </w:tcMar>
            <w:vAlign w:val="center"/>
          </w:tcPr>
          <w:p w14:paraId="7D7B6CBB" w14:textId="77777777" w:rsidR="006B6151" w:rsidRPr="00444C3E" w:rsidRDefault="006B6151" w:rsidP="00B1082C">
            <w:pPr>
              <w:pStyle w:val="DAVA"/>
              <w:spacing w:before="60"/>
              <w:rPr>
                <w:rFonts w:ascii="Cambria" w:hAnsi="Cambria"/>
                <w:sz w:val="18"/>
                <w:szCs w:val="18"/>
              </w:rPr>
            </w:pPr>
            <w:r w:rsidRPr="00444C3E">
              <w:rPr>
                <w:rFonts w:ascii="Cambria" w:hAnsi="Cambria"/>
                <w:sz w:val="18"/>
                <w:szCs w:val="18"/>
              </w:rPr>
              <w:t>Splněno.</w:t>
            </w:r>
          </w:p>
        </w:tc>
        <w:tc>
          <w:tcPr>
            <w:tcW w:w="1276" w:type="dxa"/>
            <w:shd w:val="clear" w:color="auto" w:fill="EAF1DD" w:themeFill="accent3" w:themeFillTint="33"/>
            <w:tcMar>
              <w:left w:w="28" w:type="dxa"/>
              <w:right w:w="28" w:type="dxa"/>
            </w:tcMar>
            <w:vAlign w:val="center"/>
          </w:tcPr>
          <w:p w14:paraId="03072E6F" w14:textId="77777777" w:rsidR="006B6151" w:rsidRPr="00444C3E" w:rsidRDefault="006B6151" w:rsidP="00B1082C">
            <w:pPr>
              <w:pStyle w:val="DAVA"/>
              <w:spacing w:before="60"/>
              <w:jc w:val="center"/>
              <w:rPr>
                <w:rFonts w:ascii="Cambria" w:hAnsi="Cambria"/>
                <w:sz w:val="18"/>
                <w:szCs w:val="18"/>
              </w:rPr>
            </w:pPr>
          </w:p>
        </w:tc>
      </w:tr>
      <w:tr w:rsidR="006B6151" w:rsidRPr="006E43D9" w14:paraId="77C2C626" w14:textId="77777777" w:rsidTr="00B1082C">
        <w:trPr>
          <w:trHeight w:val="411"/>
        </w:trPr>
        <w:tc>
          <w:tcPr>
            <w:tcW w:w="2127" w:type="dxa"/>
            <w:shd w:val="clear" w:color="auto" w:fill="EAF1DD" w:themeFill="accent3" w:themeFillTint="33"/>
            <w:tcMar>
              <w:left w:w="28" w:type="dxa"/>
              <w:right w:w="28" w:type="dxa"/>
            </w:tcMar>
          </w:tcPr>
          <w:p w14:paraId="4F21881D" w14:textId="77777777" w:rsidR="006B6151" w:rsidRPr="00444C3E" w:rsidRDefault="006B6151" w:rsidP="00B1082C">
            <w:pPr>
              <w:spacing w:before="60" w:after="0" w:line="240" w:lineRule="auto"/>
              <w:ind w:left="255"/>
              <w:rPr>
                <w:rFonts w:ascii="Cambria" w:eastAsia="Times New Roman" w:hAnsi="Cambria"/>
                <w:sz w:val="18"/>
                <w:szCs w:val="18"/>
                <w:lang w:eastAsia="cs-CZ"/>
              </w:rPr>
            </w:pPr>
            <w:r w:rsidRPr="00444C3E">
              <w:rPr>
                <w:rFonts w:ascii="Cambria" w:eastAsia="Times New Roman" w:hAnsi="Cambria"/>
                <w:sz w:val="18"/>
                <w:szCs w:val="18"/>
                <w:lang w:eastAsia="cs-CZ"/>
              </w:rPr>
              <w:lastRenderedPageBreak/>
              <w:t xml:space="preserve">- případné </w:t>
            </w:r>
            <w:r w:rsidRPr="00444C3E">
              <w:rPr>
                <w:rFonts w:ascii="Cambria" w:eastAsia="Times New Roman" w:hAnsi="Cambria"/>
                <w:b/>
                <w:sz w:val="18"/>
                <w:szCs w:val="18"/>
                <w:lang w:eastAsia="cs-CZ"/>
              </w:rPr>
              <w:t>zohlednění vnitrostátních strategií pro přizpůsobení se změně klimatu</w:t>
            </w:r>
            <w:r w:rsidRPr="00444C3E">
              <w:rPr>
                <w:rFonts w:ascii="Cambria" w:eastAsia="Times New Roman" w:hAnsi="Cambria"/>
                <w:sz w:val="18"/>
                <w:szCs w:val="18"/>
                <w:lang w:eastAsia="cs-CZ"/>
              </w:rPr>
              <w:t>.</w:t>
            </w:r>
          </w:p>
        </w:tc>
        <w:tc>
          <w:tcPr>
            <w:tcW w:w="5386" w:type="dxa"/>
            <w:shd w:val="clear" w:color="auto" w:fill="EAF1DD" w:themeFill="accent3" w:themeFillTint="33"/>
            <w:tcMar>
              <w:left w:w="28" w:type="dxa"/>
              <w:right w:w="28" w:type="dxa"/>
            </w:tcMar>
            <w:vAlign w:val="center"/>
          </w:tcPr>
          <w:p w14:paraId="546F8FF5" w14:textId="77777777" w:rsidR="006B6151" w:rsidRPr="00444C3E" w:rsidRDefault="006B6151" w:rsidP="00B1082C">
            <w:pPr>
              <w:keepNext/>
              <w:widowControl w:val="0"/>
              <w:numPr>
                <w:ilvl w:val="0"/>
                <w:numId w:val="6"/>
              </w:numPr>
              <w:spacing w:before="60" w:after="0" w:line="240" w:lineRule="auto"/>
              <w:ind w:left="256" w:hanging="142"/>
              <w:contextualSpacing/>
              <w:rPr>
                <w:rFonts w:ascii="Cambria" w:eastAsia="Times New Roman" w:hAnsi="Cambria"/>
                <w:i/>
                <w:sz w:val="18"/>
                <w:szCs w:val="18"/>
                <w:lang w:eastAsia="cs-CZ"/>
              </w:rPr>
            </w:pPr>
            <w:r w:rsidRPr="00444C3E">
              <w:rPr>
                <w:rFonts w:ascii="Cambria" w:hAnsi="Cambria"/>
                <w:i/>
                <w:color w:val="000000"/>
                <w:sz w:val="18"/>
                <w:szCs w:val="18"/>
                <w:lang w:val="en-GB" w:eastAsia="cs-CZ"/>
              </w:rPr>
              <w:t>National climate change adaptation strategies address the impact of climate change on health, agriculture and forest, biodiversity and ecosystems, water, costal and marine areas, and infrastructures and constructions.</w:t>
            </w:r>
          </w:p>
          <w:p w14:paraId="56F29886" w14:textId="77777777" w:rsidR="006B6151" w:rsidRPr="00444C3E" w:rsidRDefault="006B6151" w:rsidP="00B1082C">
            <w:pPr>
              <w:keepNext/>
              <w:widowControl w:val="0"/>
              <w:numPr>
                <w:ilvl w:val="0"/>
                <w:numId w:val="6"/>
              </w:numPr>
              <w:spacing w:before="60" w:after="0" w:line="240" w:lineRule="auto"/>
              <w:ind w:left="256" w:hanging="142"/>
              <w:contextualSpacing/>
              <w:rPr>
                <w:rFonts w:ascii="Cambria" w:eastAsia="Times New Roman" w:hAnsi="Cambria"/>
                <w:i/>
                <w:sz w:val="18"/>
                <w:szCs w:val="18"/>
                <w:lang w:eastAsia="cs-CZ"/>
              </w:rPr>
            </w:pPr>
            <w:r w:rsidRPr="00444C3E">
              <w:rPr>
                <w:rFonts w:ascii="Cambria" w:eastAsia="Times New Roman" w:hAnsi="Cambria"/>
                <w:i/>
                <w:color w:val="000000"/>
                <w:sz w:val="18"/>
                <w:szCs w:val="18"/>
                <w:lang w:val="en-GB"/>
              </w:rPr>
              <w:t>The Climate change adaptation strategies have been taken into account to prioritise the investments to address</w:t>
            </w:r>
            <w:r w:rsidRPr="00444C3E">
              <w:rPr>
                <w:rFonts w:ascii="Cambria" w:eastAsia="Times New Roman" w:hAnsi="Cambria"/>
                <w:i/>
                <w:noProof/>
                <w:sz w:val="18"/>
                <w:szCs w:val="18"/>
                <w:lang w:val="en-GB"/>
              </w:rPr>
              <w:t xml:space="preserve"> specific risks, ensuring disaster resilience and developing disaster management systems.</w:t>
            </w:r>
          </w:p>
        </w:tc>
        <w:tc>
          <w:tcPr>
            <w:tcW w:w="5103" w:type="dxa"/>
            <w:shd w:val="clear" w:color="auto" w:fill="EAF1DD" w:themeFill="accent3" w:themeFillTint="33"/>
            <w:tcMar>
              <w:left w:w="28" w:type="dxa"/>
              <w:right w:w="28" w:type="dxa"/>
            </w:tcMar>
            <w:vAlign w:val="center"/>
          </w:tcPr>
          <w:p w14:paraId="33D22373" w14:textId="77777777" w:rsidR="006B6151" w:rsidRPr="00444C3E" w:rsidRDefault="006B6151" w:rsidP="00B1082C">
            <w:pPr>
              <w:pStyle w:val="DAVA"/>
              <w:spacing w:before="60"/>
              <w:rPr>
                <w:rFonts w:ascii="Cambria" w:hAnsi="Cambria"/>
                <w:sz w:val="18"/>
                <w:szCs w:val="18"/>
              </w:rPr>
            </w:pPr>
            <w:r w:rsidRPr="00444C3E">
              <w:rPr>
                <w:rFonts w:ascii="Cambria" w:hAnsi="Cambria"/>
                <w:sz w:val="18"/>
                <w:szCs w:val="18"/>
              </w:rPr>
              <w:t>Schválení adaptační strategie (aktuální návrh řeší dopady změny klimatu na zdraví, zemědělství a lesnictví, biologickou rozmanitost a ekosystémy, vodu, infrastrukturu a stavby; Česká republika nedisponuje pobřežními a mořskými oblastmi - kromě velmi omezených území určených pro výzkum na Antarktidě a hlubokomořských území určených pro případný průzkum a těžbu surovin).</w:t>
            </w:r>
          </w:p>
          <w:p w14:paraId="1FA6B34B" w14:textId="77777777" w:rsidR="006B6151" w:rsidRPr="00444C3E" w:rsidRDefault="006B6151" w:rsidP="00B1082C">
            <w:pPr>
              <w:pStyle w:val="DAVA"/>
              <w:spacing w:before="60"/>
              <w:rPr>
                <w:rFonts w:ascii="Cambria" w:hAnsi="Cambria"/>
                <w:sz w:val="18"/>
                <w:szCs w:val="18"/>
              </w:rPr>
            </w:pPr>
            <w:r w:rsidRPr="00444C3E">
              <w:rPr>
                <w:rFonts w:ascii="Cambria" w:hAnsi="Cambria"/>
                <w:sz w:val="18"/>
                <w:szCs w:val="18"/>
              </w:rPr>
              <w:t>Případné zohlednění adaptační strategie v odpovídajících vnitrostátních nebo regionálních posouzeních rizik, upřesnění investičních priorit zaměřených na specifická rizika v kontextu změny klimatu za účelem zajištění odolnosti vůči katastrofám.</w:t>
            </w:r>
          </w:p>
          <w:p w14:paraId="593906C8" w14:textId="77777777" w:rsidR="006B6151" w:rsidRPr="00444C3E" w:rsidRDefault="006B6151" w:rsidP="00B1082C">
            <w:pPr>
              <w:pStyle w:val="DAVA"/>
              <w:spacing w:before="60"/>
              <w:rPr>
                <w:rFonts w:ascii="Cambria" w:hAnsi="Cambria"/>
                <w:sz w:val="18"/>
                <w:szCs w:val="18"/>
              </w:rPr>
            </w:pPr>
            <w:r w:rsidRPr="00444C3E">
              <w:rPr>
                <w:rFonts w:ascii="Cambria" w:hAnsi="Cambria"/>
                <w:sz w:val="18"/>
                <w:szCs w:val="18"/>
              </w:rPr>
              <w:t>Návrh adaptační strategie je odpovídajícím způsobem zohledňován v připravovaných Plánech pro zvládání povodňových rizik a aktualizovaných Plánech povodí a Koncepci environmentální bezpečnosti. Případné relevantní změny adaptační strategie (jež mohou být vyvolané procesem SEA nebo MPŘ) budou do Plánů pro zvládání povodňových rizik a Plánů povodí uplatněny v rámci připomínek veřejnosti (do 22.6.2015) a do Koncepce environmentální bezpečnosti před jejím schválením (do 31.12.2015). Adaptační strategie bude po svém schválení uplatněna v odpovídající krizové dokumentaci dotčených resortů do 31.12.2015.</w:t>
            </w:r>
          </w:p>
        </w:tc>
        <w:tc>
          <w:tcPr>
            <w:tcW w:w="1276" w:type="dxa"/>
            <w:shd w:val="clear" w:color="auto" w:fill="EAF1DD" w:themeFill="accent3" w:themeFillTint="33"/>
            <w:tcMar>
              <w:left w:w="28" w:type="dxa"/>
              <w:right w:w="28" w:type="dxa"/>
            </w:tcMar>
            <w:vAlign w:val="center"/>
          </w:tcPr>
          <w:p w14:paraId="7BC60BE2" w14:textId="77777777" w:rsidR="006B6151" w:rsidRPr="00444C3E" w:rsidRDefault="006B6151" w:rsidP="00B1082C">
            <w:pPr>
              <w:pStyle w:val="DAVA"/>
              <w:spacing w:before="60"/>
              <w:jc w:val="center"/>
              <w:rPr>
                <w:rFonts w:ascii="Cambria" w:hAnsi="Cambria"/>
                <w:sz w:val="18"/>
                <w:szCs w:val="18"/>
              </w:rPr>
            </w:pPr>
            <w:r w:rsidRPr="00444C3E">
              <w:rPr>
                <w:rFonts w:ascii="Cambria" w:hAnsi="Cambria"/>
                <w:sz w:val="18"/>
                <w:szCs w:val="18"/>
              </w:rPr>
              <w:t>XII 2015</w:t>
            </w:r>
          </w:p>
        </w:tc>
      </w:tr>
    </w:tbl>
    <w:p w14:paraId="063892F9" w14:textId="77777777" w:rsidR="006B6151" w:rsidRPr="006E43D9" w:rsidRDefault="006B6151" w:rsidP="006B6151">
      <w:pPr>
        <w:rPr>
          <w:i/>
        </w:rPr>
      </w:pPr>
    </w:p>
    <w:p w14:paraId="436B14FA" w14:textId="77777777" w:rsidR="006B6151" w:rsidRPr="006E43D9" w:rsidRDefault="006B6151" w:rsidP="006B6151">
      <w:pPr>
        <w:pStyle w:val="Styl2"/>
      </w:pPr>
      <w:r w:rsidRPr="006E43D9">
        <w:t>Rizika pro splnění Akčního plánu</w:t>
      </w:r>
    </w:p>
    <w:p w14:paraId="7E108F56" w14:textId="77777777" w:rsidR="006B6151" w:rsidRPr="00444C3E" w:rsidRDefault="006B6151" w:rsidP="006B6151">
      <w:pPr>
        <w:spacing w:after="120"/>
        <w:jc w:val="both"/>
        <w:rPr>
          <w:rFonts w:ascii="Cambria" w:hAnsi="Cambria"/>
        </w:rPr>
      </w:pPr>
      <w:r w:rsidRPr="00444C3E">
        <w:rPr>
          <w:rFonts w:ascii="Cambria" w:hAnsi="Cambria"/>
          <w:b/>
        </w:rPr>
        <w:t>Riziko časové</w:t>
      </w:r>
      <w:r w:rsidRPr="00444C3E">
        <w:rPr>
          <w:rFonts w:ascii="Cambria" w:hAnsi="Cambria"/>
        </w:rPr>
        <w:t xml:space="preserve"> - případné komplikace v průběhu procesu SEA a meziresortního připomínkového řízení adaptační strategie, případné zdržení při hledání politické shody ve vládě ČR, časově náročná příprava a implementace jednotlivých opatření.</w:t>
      </w:r>
    </w:p>
    <w:p w14:paraId="5C57D23F" w14:textId="77777777" w:rsidR="006B6151" w:rsidRPr="00444C3E" w:rsidRDefault="006B6151" w:rsidP="006B6151">
      <w:pPr>
        <w:spacing w:after="120"/>
        <w:jc w:val="both"/>
        <w:rPr>
          <w:rFonts w:ascii="Cambria" w:hAnsi="Cambria"/>
        </w:rPr>
      </w:pPr>
      <w:r w:rsidRPr="00444C3E">
        <w:rPr>
          <w:rFonts w:ascii="Cambria" w:hAnsi="Cambria"/>
          <w:b/>
        </w:rPr>
        <w:t>Riziko adekvátního naplnění požadavků EK a riziko koordinační</w:t>
      </w:r>
      <w:r w:rsidRPr="00444C3E">
        <w:rPr>
          <w:rFonts w:ascii="Cambria" w:hAnsi="Cambria"/>
        </w:rPr>
        <w:t xml:space="preserve"> - dostatečnost pokrytí spektra požadavků vyplývajících z kritérií splnění předběžné podmínky, jež se postupným zpřesňováním rozšiřují; rizika související se změnou klimatu mají meziresortní přesah a každý resort tato rizika jinak vnímá, analyzuje a řeší – je otázkou, jak navržená opatření ke splnění předběžné podmínky EK pochopí a přijme.</w:t>
      </w:r>
    </w:p>
    <w:p w14:paraId="3029AC68" w14:textId="77777777" w:rsidR="006B6151" w:rsidRDefault="006B6151" w:rsidP="006B6151">
      <w:pPr>
        <w:spacing w:after="120"/>
        <w:jc w:val="both"/>
        <w:rPr>
          <w:rFonts w:ascii="Cambria" w:hAnsi="Cambria"/>
        </w:rPr>
      </w:pPr>
      <w:r w:rsidRPr="00444C3E">
        <w:rPr>
          <w:rFonts w:ascii="Cambria" w:hAnsi="Cambria"/>
          <w:b/>
        </w:rPr>
        <w:t>Riziko politické shody</w:t>
      </w:r>
      <w:r w:rsidRPr="00444C3E">
        <w:rPr>
          <w:rFonts w:ascii="Cambria" w:hAnsi="Cambria"/>
        </w:rPr>
        <w:t xml:space="preserve"> nad schválením adaptační strategie.</w:t>
      </w:r>
    </w:p>
    <w:p w14:paraId="49C7CC60" w14:textId="77777777" w:rsidR="006B6151" w:rsidRDefault="006B6151" w:rsidP="006B6151">
      <w:pPr>
        <w:spacing w:after="120"/>
        <w:jc w:val="both"/>
        <w:rPr>
          <w:rFonts w:ascii="Cambria" w:hAnsi="Cambria"/>
        </w:rPr>
      </w:pPr>
    </w:p>
    <w:p w14:paraId="10F85A5E" w14:textId="22069C0B" w:rsidR="006B6151" w:rsidRPr="008976C7" w:rsidRDefault="006B6151" w:rsidP="006B6151">
      <w:pPr>
        <w:rPr>
          <w:rFonts w:ascii="Cambria" w:hAnsi="Cambria"/>
        </w:rPr>
      </w:pPr>
      <w:r w:rsidRPr="008976C7">
        <w:rPr>
          <w:rFonts w:ascii="Cambria" w:hAnsi="Cambria"/>
        </w:rPr>
        <w:t xml:space="preserve">Stav ke dni: </w:t>
      </w:r>
      <w:r w:rsidR="0039049E">
        <w:rPr>
          <w:rFonts w:ascii="Cambria" w:hAnsi="Cambria"/>
        </w:rPr>
        <w:t>6</w:t>
      </w:r>
      <w:r w:rsidR="00E14A04">
        <w:rPr>
          <w:rFonts w:ascii="Cambria" w:hAnsi="Cambria"/>
        </w:rPr>
        <w:t>. </w:t>
      </w:r>
      <w:r w:rsidR="0039049E">
        <w:rPr>
          <w:rFonts w:ascii="Cambria" w:hAnsi="Cambria"/>
        </w:rPr>
        <w:t>3</w:t>
      </w:r>
      <w:r w:rsidR="00E14A04">
        <w:rPr>
          <w:rFonts w:ascii="Cambria" w:hAnsi="Cambria"/>
        </w:rPr>
        <w:t>. 2015</w:t>
      </w:r>
    </w:p>
    <w:p w14:paraId="49B286D1" w14:textId="2F4F5904" w:rsidR="00B4587D" w:rsidRPr="00744446" w:rsidRDefault="00B4587D" w:rsidP="00744446">
      <w:pPr>
        <w:rPr>
          <w:rFonts w:ascii="Cambria" w:hAnsi="Cambria"/>
        </w:rPr>
      </w:pPr>
    </w:p>
    <w:sectPr w:rsidR="00B4587D" w:rsidRPr="00744446" w:rsidSect="008A7507">
      <w:pgSz w:w="16838" w:h="11906" w:orient="landscape"/>
      <w:pgMar w:top="85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9C2444" w14:textId="77777777" w:rsidR="008F6574" w:rsidRDefault="008F6574" w:rsidP="00D8521B">
      <w:pPr>
        <w:spacing w:after="0" w:line="240" w:lineRule="auto"/>
      </w:pPr>
      <w:r>
        <w:separator/>
      </w:r>
    </w:p>
  </w:endnote>
  <w:endnote w:type="continuationSeparator" w:id="0">
    <w:p w14:paraId="158CD0A0" w14:textId="77777777" w:rsidR="008F6574" w:rsidRDefault="008F6574" w:rsidP="00D8521B">
      <w:pPr>
        <w:spacing w:after="0" w:line="240" w:lineRule="auto"/>
      </w:pPr>
      <w:r>
        <w:continuationSeparator/>
      </w:r>
    </w:p>
  </w:endnote>
  <w:endnote w:type="continuationNotice" w:id="1">
    <w:p w14:paraId="7AE5075F" w14:textId="77777777" w:rsidR="008F6574" w:rsidRDefault="008F65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67BDF" w14:textId="77777777" w:rsidR="00B65D90" w:rsidRDefault="00EB0404">
    <w:pPr>
      <w:pStyle w:val="Zpat"/>
      <w:jc w:val="center"/>
    </w:pPr>
    <w:r>
      <w:fldChar w:fldCharType="begin"/>
    </w:r>
    <w:r w:rsidR="00714FDD">
      <w:instrText>PAGE   \* MERGEFORMAT</w:instrText>
    </w:r>
    <w:r>
      <w:fldChar w:fldCharType="separate"/>
    </w:r>
    <w:r w:rsidR="00D17FC4">
      <w:rPr>
        <w:noProof/>
      </w:rPr>
      <w:t>10</w:t>
    </w:r>
    <w:r>
      <w:rPr>
        <w:noProof/>
      </w:rPr>
      <w:fldChar w:fldCharType="end"/>
    </w:r>
  </w:p>
  <w:p w14:paraId="0E9ACFF7" w14:textId="77777777" w:rsidR="00B65D90" w:rsidRDefault="00B65D9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5FE8B" w14:textId="77777777" w:rsidR="008F6574" w:rsidRDefault="008F6574" w:rsidP="00D8521B">
      <w:pPr>
        <w:spacing w:after="0" w:line="240" w:lineRule="auto"/>
      </w:pPr>
      <w:r>
        <w:separator/>
      </w:r>
    </w:p>
  </w:footnote>
  <w:footnote w:type="continuationSeparator" w:id="0">
    <w:p w14:paraId="41CF55DE" w14:textId="77777777" w:rsidR="008F6574" w:rsidRDefault="008F6574" w:rsidP="00D8521B">
      <w:pPr>
        <w:spacing w:after="0" w:line="240" w:lineRule="auto"/>
      </w:pPr>
      <w:r>
        <w:continuationSeparator/>
      </w:r>
    </w:p>
  </w:footnote>
  <w:footnote w:type="continuationNotice" w:id="1">
    <w:p w14:paraId="7B2A183A" w14:textId="77777777" w:rsidR="008F6574" w:rsidRDefault="008F6574">
      <w:pPr>
        <w:spacing w:after="0" w:line="240" w:lineRule="auto"/>
      </w:pPr>
    </w:p>
  </w:footnote>
  <w:footnote w:id="2">
    <w:p w14:paraId="60EAECF2" w14:textId="77777777" w:rsidR="00B65D90" w:rsidRPr="0005477F" w:rsidRDefault="00B65D90" w:rsidP="0005477F">
      <w:pPr>
        <w:pStyle w:val="Textpoznpodarou"/>
        <w:ind w:left="142" w:hanging="142"/>
        <w:rPr>
          <w:sz w:val="18"/>
          <w:szCs w:val="18"/>
        </w:rPr>
      </w:pPr>
      <w:r w:rsidRPr="0005477F">
        <w:rPr>
          <w:rStyle w:val="Znakapoznpodarou"/>
          <w:sz w:val="18"/>
          <w:szCs w:val="18"/>
        </w:rPr>
        <w:footnoteRef/>
      </w:r>
      <w:r w:rsidRPr="0005477F">
        <w:rPr>
          <w:sz w:val="18"/>
          <w:szCs w:val="18"/>
        </w:rPr>
        <w:t xml:space="preserve"> Odkazy na strategie, legislativní akty nebo další relevantní dokumenty obsahující odkazy na relevantní sekce, články nebo paragrafy, spolu s uvedením hypertextového odkazu nebo jiné možnosti přístupu k plnému textu).</w:t>
      </w:r>
    </w:p>
  </w:footnote>
  <w:footnote w:id="3">
    <w:p w14:paraId="2F90E4C5" w14:textId="77777777" w:rsidR="00CA620D" w:rsidRPr="00CA620D" w:rsidRDefault="00CA620D" w:rsidP="00CA620D">
      <w:pPr>
        <w:pStyle w:val="Textpoznpodarou"/>
        <w:ind w:left="142" w:hanging="142"/>
        <w:rPr>
          <w:sz w:val="18"/>
          <w:szCs w:val="18"/>
        </w:rPr>
      </w:pPr>
      <w:r w:rsidRPr="00CA620D">
        <w:rPr>
          <w:rStyle w:val="Znakapoznpodarou"/>
          <w:sz w:val="18"/>
          <w:szCs w:val="18"/>
        </w:rPr>
        <w:footnoteRef/>
      </w:r>
      <w:r w:rsidRPr="00CA620D">
        <w:rPr>
          <w:rStyle w:val="Znakapoznpodarou"/>
          <w:sz w:val="18"/>
          <w:szCs w:val="18"/>
          <w:vertAlign w:val="baseline"/>
        </w:rPr>
        <w:t xml:space="preserve"> Okrajově se podmínka vztahuje rovněž k Prioritní ose 2: Zlepšování kvality ovzduší v lidských sídlech;</w:t>
      </w:r>
      <w:r w:rsidRPr="00CA620D">
        <w:rPr>
          <w:sz w:val="18"/>
          <w:szCs w:val="18"/>
        </w:rPr>
        <w:t xml:space="preserve"> </w:t>
      </w:r>
      <w:r w:rsidRPr="00CA620D">
        <w:rPr>
          <w:rStyle w:val="Znakapoznpodarou"/>
          <w:sz w:val="18"/>
          <w:szCs w:val="18"/>
          <w:vertAlign w:val="baseline"/>
        </w:rPr>
        <w:t>Prioritní ose 3: Odpady a materiálové toky, ekologické zátěže a rizika a Prioritní osa 5: Energetické úspory</w:t>
      </w:r>
      <w:r w:rsidR="00440042">
        <w:rPr>
          <w:sz w:val="18"/>
          <w:szCs w:val="18"/>
        </w:rPr>
        <w:t xml:space="preserve"> (</w:t>
      </w:r>
      <w:r w:rsidR="0069590B">
        <w:rPr>
          <w:sz w:val="18"/>
          <w:szCs w:val="18"/>
        </w:rPr>
        <w:t xml:space="preserve">mezi </w:t>
      </w:r>
      <w:r w:rsidR="00440042">
        <w:rPr>
          <w:sz w:val="18"/>
          <w:szCs w:val="18"/>
        </w:rPr>
        <w:t>vedlejší</w:t>
      </w:r>
      <w:r w:rsidR="0069590B">
        <w:rPr>
          <w:sz w:val="18"/>
          <w:szCs w:val="18"/>
        </w:rPr>
        <w:t>mi</w:t>
      </w:r>
      <w:r w:rsidR="00440042">
        <w:rPr>
          <w:sz w:val="18"/>
          <w:szCs w:val="18"/>
        </w:rPr>
        <w:t xml:space="preserve"> přínosy realizovaných opatření</w:t>
      </w:r>
      <w:r w:rsidR="0069590B">
        <w:rPr>
          <w:sz w:val="18"/>
          <w:szCs w:val="18"/>
        </w:rPr>
        <w:t xml:space="preserve"> může být adaptace na změnu klimatu)</w:t>
      </w:r>
      <w:r w:rsidR="00A70DDF">
        <w:rPr>
          <w:sz w:val="18"/>
          <w:szCs w:val="18"/>
        </w:rPr>
        <w:t xml:space="preserve"> </w:t>
      </w:r>
    </w:p>
  </w:footnote>
  <w:footnote w:id="4">
    <w:p w14:paraId="64A51FC6" w14:textId="77777777" w:rsidR="00810977" w:rsidRPr="0005477F" w:rsidRDefault="00810977" w:rsidP="00810977">
      <w:pPr>
        <w:pStyle w:val="Textpoznpodarou"/>
        <w:ind w:left="142" w:hanging="142"/>
        <w:rPr>
          <w:sz w:val="18"/>
          <w:szCs w:val="18"/>
        </w:rPr>
      </w:pPr>
      <w:r w:rsidRPr="0005477F">
        <w:rPr>
          <w:rStyle w:val="Znakapoznpodarou"/>
          <w:sz w:val="18"/>
          <w:szCs w:val="18"/>
        </w:rPr>
        <w:footnoteRef/>
      </w:r>
      <w:r w:rsidRPr="0005477F">
        <w:rPr>
          <w:sz w:val="18"/>
          <w:szCs w:val="18"/>
        </w:rPr>
        <w:t xml:space="preserve"> zákon </w:t>
      </w:r>
      <w:r>
        <w:rPr>
          <w:sz w:val="18"/>
          <w:szCs w:val="18"/>
        </w:rPr>
        <w:t xml:space="preserve">č. </w:t>
      </w:r>
      <w:r w:rsidRPr="0005477F">
        <w:rPr>
          <w:sz w:val="18"/>
          <w:szCs w:val="18"/>
        </w:rPr>
        <w:t>254/2001 Sb., o vodách</w:t>
      </w:r>
      <w:r>
        <w:rPr>
          <w:sz w:val="18"/>
          <w:szCs w:val="18"/>
        </w:rPr>
        <w:t xml:space="preserve"> a o změně některých zákonů</w:t>
      </w:r>
      <w:r w:rsidRPr="0005477F">
        <w:rPr>
          <w:sz w:val="18"/>
          <w:szCs w:val="18"/>
        </w:rPr>
        <w:t xml:space="preserve"> (vodní zákon)</w:t>
      </w:r>
      <w:r>
        <w:rPr>
          <w:sz w:val="18"/>
          <w:szCs w:val="18"/>
        </w:rPr>
        <w:t>, ve znění pozdějších předpisů</w:t>
      </w:r>
    </w:p>
  </w:footnote>
  <w:footnote w:id="5">
    <w:p w14:paraId="2DC0D057" w14:textId="77777777" w:rsidR="00810977" w:rsidRPr="0005477F" w:rsidRDefault="00810977" w:rsidP="00810977">
      <w:pPr>
        <w:pStyle w:val="Textpoznpodarou"/>
        <w:ind w:left="142" w:hanging="142"/>
        <w:rPr>
          <w:sz w:val="18"/>
          <w:szCs w:val="18"/>
        </w:rPr>
      </w:pPr>
      <w:r w:rsidRPr="0005477F">
        <w:rPr>
          <w:rStyle w:val="Znakapoznpodarou"/>
          <w:sz w:val="18"/>
          <w:szCs w:val="18"/>
        </w:rPr>
        <w:footnoteRef/>
      </w:r>
      <w:r w:rsidRPr="0005477F">
        <w:rPr>
          <w:sz w:val="18"/>
          <w:szCs w:val="18"/>
        </w:rPr>
        <w:t xml:space="preserve"> zákon</w:t>
      </w:r>
      <w:r>
        <w:rPr>
          <w:sz w:val="18"/>
          <w:szCs w:val="18"/>
        </w:rPr>
        <w:t xml:space="preserve"> č.</w:t>
      </w:r>
      <w:r w:rsidRPr="0005477F">
        <w:rPr>
          <w:sz w:val="18"/>
          <w:szCs w:val="18"/>
        </w:rPr>
        <w:t xml:space="preserve"> 254/2001 Sb., o vodách</w:t>
      </w:r>
      <w:r>
        <w:rPr>
          <w:sz w:val="18"/>
          <w:szCs w:val="18"/>
        </w:rPr>
        <w:t xml:space="preserve"> a o změně některých zákonů</w:t>
      </w:r>
      <w:r w:rsidRPr="0005477F">
        <w:rPr>
          <w:sz w:val="18"/>
          <w:szCs w:val="18"/>
        </w:rPr>
        <w:t xml:space="preserve"> (vodní zákon)</w:t>
      </w:r>
      <w:r>
        <w:rPr>
          <w:sz w:val="18"/>
          <w:szCs w:val="18"/>
        </w:rPr>
        <w:t>, ve znění pozdějších předpisů</w:t>
      </w:r>
    </w:p>
  </w:footnote>
  <w:footnote w:id="6">
    <w:p w14:paraId="5905522D" w14:textId="77777777" w:rsidR="00810977" w:rsidRPr="0005477F" w:rsidRDefault="00810977" w:rsidP="00810977">
      <w:pPr>
        <w:pStyle w:val="Textpoznpodarou"/>
        <w:ind w:left="142" w:hanging="142"/>
        <w:rPr>
          <w:sz w:val="18"/>
          <w:szCs w:val="18"/>
        </w:rPr>
      </w:pPr>
      <w:r w:rsidRPr="0005477F">
        <w:rPr>
          <w:rStyle w:val="Znakapoznpodarou"/>
          <w:sz w:val="18"/>
          <w:szCs w:val="18"/>
        </w:rPr>
        <w:footnoteRef/>
      </w:r>
      <w:r w:rsidR="00B957DF">
        <w:rPr>
          <w:sz w:val="18"/>
          <w:szCs w:val="18"/>
        </w:rPr>
        <w:t> </w:t>
      </w:r>
      <w:r w:rsidRPr="0005477F">
        <w:rPr>
          <w:sz w:val="18"/>
          <w:szCs w:val="18"/>
        </w:rPr>
        <w:t>zákon</w:t>
      </w:r>
      <w:r>
        <w:rPr>
          <w:sz w:val="18"/>
          <w:szCs w:val="18"/>
        </w:rPr>
        <w:t xml:space="preserve"> č.</w:t>
      </w:r>
      <w:r w:rsidRPr="0005477F">
        <w:rPr>
          <w:sz w:val="18"/>
          <w:szCs w:val="18"/>
        </w:rPr>
        <w:t xml:space="preserve"> 240/2000 Sb., o krizovém řízení </w:t>
      </w:r>
      <w:r>
        <w:rPr>
          <w:sz w:val="18"/>
          <w:szCs w:val="18"/>
        </w:rPr>
        <w:t xml:space="preserve">a o změně některých zákonů </w:t>
      </w:r>
      <w:r w:rsidRPr="0005477F">
        <w:rPr>
          <w:sz w:val="18"/>
          <w:szCs w:val="18"/>
        </w:rPr>
        <w:t>(krizový zákon)</w:t>
      </w:r>
      <w:r>
        <w:rPr>
          <w:sz w:val="18"/>
          <w:szCs w:val="18"/>
        </w:rPr>
        <w:t>, ve znění pozdějších předpisů</w:t>
      </w:r>
    </w:p>
  </w:footnote>
  <w:footnote w:id="7">
    <w:p w14:paraId="3C2E6782" w14:textId="77777777" w:rsidR="007A7AF6" w:rsidRDefault="007A7AF6" w:rsidP="00237618">
      <w:pPr>
        <w:pStyle w:val="Textpoznpodarou"/>
        <w:ind w:left="142" w:hanging="142"/>
      </w:pPr>
      <w:r>
        <w:rPr>
          <w:rStyle w:val="Znakapoznpodarou"/>
        </w:rPr>
        <w:footnoteRef/>
      </w:r>
      <w:r>
        <w:t xml:space="preserve"> </w:t>
      </w:r>
      <w:r w:rsidRPr="00BC2E1D">
        <w:rPr>
          <w:rFonts w:eastAsia="Times New Roman"/>
          <w:sz w:val="18"/>
          <w:szCs w:val="18"/>
          <w:lang w:eastAsia="cs-CZ"/>
        </w:rPr>
        <w:t>Tyto plány mají přímou návaznost na krizový plán kraje a krizový plán obce s rozšířenou působností. V těchto plánech je upravena příprava příslušné právnické nebo podnikající fyzické osoby k řešení krizových situací. Dále tyto plány zpracovávají územní správní úřady uvedené v krizovém plánu kraje nebo krizovém plánu obce s rozšířenou působnost</w:t>
      </w:r>
      <w:r>
        <w:rPr>
          <w:rFonts w:eastAsia="Times New Roman"/>
          <w:sz w:val="18"/>
          <w:szCs w:val="18"/>
          <w:lang w:eastAsia="cs-CZ"/>
        </w:rPr>
        <w:t>í.</w:t>
      </w:r>
    </w:p>
  </w:footnote>
  <w:footnote w:id="8">
    <w:p w14:paraId="5B45B3ED" w14:textId="77777777" w:rsidR="00CF4379" w:rsidRPr="0005477F" w:rsidRDefault="00CF4379" w:rsidP="00A1118C">
      <w:pPr>
        <w:pStyle w:val="Textpoznpodarou"/>
        <w:ind w:left="142" w:hanging="142"/>
        <w:rPr>
          <w:sz w:val="18"/>
        </w:rPr>
      </w:pPr>
      <w:r w:rsidRPr="0005477F">
        <w:rPr>
          <w:rStyle w:val="Znakapoznpodarou"/>
          <w:sz w:val="18"/>
        </w:rPr>
        <w:footnoteRef/>
      </w:r>
      <w:r w:rsidRPr="0005477F">
        <w:rPr>
          <w:sz w:val="18"/>
        </w:rPr>
        <w:t xml:space="preserve"> Viz Koncepce environmentální bezpečnosti 2012–2015 s výhledem do roku 2020</w:t>
      </w:r>
      <w:r>
        <w:rPr>
          <w:sz w:val="18"/>
        </w:rPr>
        <w:t xml:space="preserve"> (vč. podkladů) a povinnosti vyplývající ze </w:t>
      </w:r>
      <w:r w:rsidRPr="0005477F">
        <w:rPr>
          <w:sz w:val="18"/>
        </w:rPr>
        <w:t>zákon</w:t>
      </w:r>
      <w:r>
        <w:rPr>
          <w:sz w:val="18"/>
        </w:rPr>
        <w:t>a</w:t>
      </w:r>
      <w:r w:rsidRPr="0005477F">
        <w:rPr>
          <w:sz w:val="18"/>
        </w:rPr>
        <w:t xml:space="preserve"> č. 59/2006 Sb., </w:t>
      </w:r>
      <w:r>
        <w:rPr>
          <w:sz w:val="18"/>
        </w:rPr>
        <w:t>o prevenci závažných havárií způsobených vybranými nebezpečnými chemickými látkami nebo chemickými přípravky a o změně zákona č. 258/2000 Sb., o ochraně veřejného zdraví a o změně některých souvisejících zákonů, ve znění pozdějších předpisů, a zákona č. 320/2002 Sb., o změně a zrušení některých zákonů v souvislosti s ukončením činnosti okresních úřadů, ve znění pozdějších předpisů, (zákon o prevenci závažných havárií), ve znění pozdějších předpisů.</w:t>
      </w:r>
    </w:p>
  </w:footnote>
  <w:footnote w:id="9">
    <w:p w14:paraId="1C1472CD" w14:textId="77777777" w:rsidR="00CF4379" w:rsidRPr="00D4102A" w:rsidRDefault="00CF4379" w:rsidP="00F90BE0">
      <w:pPr>
        <w:pStyle w:val="Textpoznpodarou"/>
        <w:ind w:left="142" w:hanging="142"/>
        <w:rPr>
          <w:sz w:val="18"/>
          <w:szCs w:val="18"/>
        </w:rPr>
      </w:pPr>
      <w:r w:rsidRPr="00D4102A">
        <w:rPr>
          <w:rStyle w:val="Znakapoznpodarou"/>
          <w:sz w:val="18"/>
          <w:szCs w:val="18"/>
        </w:rPr>
        <w:footnoteRef/>
      </w:r>
      <w:r w:rsidRPr="00D4102A">
        <w:rPr>
          <w:sz w:val="18"/>
          <w:szCs w:val="18"/>
        </w:rPr>
        <w:t xml:space="preserve"> Povinnost zpracovávat plán, který obsahuje souhrn krizových opatření a postupů k řešení krizových situací (tzv. krizový plán) ukládá ministerstvům a jiným ústředním správním úřadům § 9 odst. 2 písm. b) zákona č. 240/2000 Sb., o krizovém řízení a o změně některých zákonů (krizový zákon), ve znění pozdějších předpisů (dále jen „krizový zákon“).</w:t>
      </w:r>
    </w:p>
  </w:footnote>
  <w:footnote w:id="10">
    <w:p w14:paraId="5784E4EF" w14:textId="77777777" w:rsidR="00CF4379" w:rsidRPr="001C262C" w:rsidRDefault="00CF4379" w:rsidP="00237618">
      <w:pPr>
        <w:autoSpaceDE w:val="0"/>
        <w:autoSpaceDN w:val="0"/>
        <w:adjustRightInd w:val="0"/>
        <w:spacing w:after="0" w:line="240" w:lineRule="auto"/>
        <w:ind w:left="142" w:hanging="142"/>
        <w:jc w:val="both"/>
        <w:rPr>
          <w:sz w:val="18"/>
          <w:szCs w:val="20"/>
        </w:rPr>
      </w:pPr>
      <w:r>
        <w:rPr>
          <w:rStyle w:val="Znakapoznpodarou"/>
        </w:rPr>
        <w:footnoteRef/>
      </w:r>
      <w:r>
        <w:t xml:space="preserve"> </w:t>
      </w:r>
      <w:r w:rsidRPr="001C262C">
        <w:rPr>
          <w:sz w:val="18"/>
          <w:szCs w:val="20"/>
        </w:rPr>
        <w:t>Krizový plán kraje je základním plánovacím dokumentem obsahujícím souhrn krizových opatření a postupů k řešení krizových situací</w:t>
      </w:r>
      <w:r>
        <w:rPr>
          <w:sz w:val="18"/>
          <w:szCs w:val="20"/>
        </w:rPr>
        <w:t xml:space="preserve">, </w:t>
      </w:r>
      <w:r>
        <w:rPr>
          <w:rFonts w:cs="Arial"/>
          <w:sz w:val="18"/>
          <w:szCs w:val="18"/>
        </w:rPr>
        <w:t>včetně těch, které mají vazbu na změny klimatu (povodně, sucha, sesuvy půdy, přívalové deště apod.)</w:t>
      </w:r>
      <w:r w:rsidRPr="001C262C">
        <w:rPr>
          <w:sz w:val="18"/>
          <w:szCs w:val="20"/>
        </w:rPr>
        <w:t>. Jeho účelem je vytvořit podmínky pro zajištění připravenosti na krizové situace a jejich řešení pro orgány krizového řízení a další dotčené subjekty. Předmětem krizového plánu jsou tedy i rizika/hrozby vyplývající ze změny klimatu, tj. povodně, přívalové deště, sesuvy půdy aj.</w:t>
      </w:r>
      <w:r>
        <w:rPr>
          <w:sz w:val="18"/>
          <w:szCs w:val="20"/>
        </w:rPr>
        <w:t xml:space="preserve"> </w:t>
      </w:r>
      <w:r w:rsidRPr="001C262C">
        <w:rPr>
          <w:sz w:val="18"/>
          <w:szCs w:val="20"/>
        </w:rPr>
        <w:t xml:space="preserve">V návaznosti na krizový plán </w:t>
      </w:r>
      <w:r w:rsidR="00EB40A0">
        <w:rPr>
          <w:sz w:val="18"/>
          <w:szCs w:val="20"/>
        </w:rPr>
        <w:t xml:space="preserve">kraje </w:t>
      </w:r>
      <w:r w:rsidRPr="001C262C">
        <w:rPr>
          <w:sz w:val="18"/>
          <w:szCs w:val="20"/>
        </w:rPr>
        <w:t>jsou dále zpracovány krizové plány obce s rozšířenou působností. Náležitosti krizové</w:t>
      </w:r>
      <w:r w:rsidR="00EB40A0">
        <w:rPr>
          <w:sz w:val="18"/>
          <w:szCs w:val="20"/>
        </w:rPr>
        <w:t>ho</w:t>
      </w:r>
      <w:r w:rsidRPr="001C262C">
        <w:rPr>
          <w:sz w:val="18"/>
          <w:szCs w:val="20"/>
        </w:rPr>
        <w:t xml:space="preserve"> plánu jsou dány v ust. § 15 nařízení vlády č. 462/2000 Sb., k provedení § 27 odst. 8 a § 28 odst. 5 zákona č. 240/2000 Sb., o krizovém řízení a o změně některých zákonů (krizový zákon), ve znění pozdějších předpisů. Krizový plán se člení do 3 částí, a to části základní, operativní a pomocné.</w:t>
      </w:r>
      <w:r>
        <w:rPr>
          <w:sz w:val="18"/>
          <w:szCs w:val="20"/>
        </w:rPr>
        <w:t xml:space="preserve"> </w:t>
      </w:r>
      <w:r w:rsidRPr="001C262C">
        <w:rPr>
          <w:sz w:val="18"/>
          <w:szCs w:val="20"/>
        </w:rPr>
        <w:t>Krizov</w:t>
      </w:r>
      <w:r w:rsidR="00EB40A0">
        <w:rPr>
          <w:sz w:val="18"/>
          <w:szCs w:val="20"/>
        </w:rPr>
        <w:t>é</w:t>
      </w:r>
      <w:r w:rsidRPr="001C262C">
        <w:rPr>
          <w:sz w:val="18"/>
          <w:szCs w:val="20"/>
        </w:rPr>
        <w:t xml:space="preserve"> plán</w:t>
      </w:r>
      <w:r w:rsidR="00EB40A0">
        <w:rPr>
          <w:sz w:val="18"/>
          <w:szCs w:val="20"/>
        </w:rPr>
        <w:t>y</w:t>
      </w:r>
      <w:r w:rsidRPr="001C262C">
        <w:rPr>
          <w:sz w:val="18"/>
          <w:szCs w:val="20"/>
        </w:rPr>
        <w:t xml:space="preserve"> </w:t>
      </w:r>
      <w:r w:rsidR="00EB40A0">
        <w:rPr>
          <w:sz w:val="18"/>
          <w:szCs w:val="20"/>
        </w:rPr>
        <w:t xml:space="preserve"> jsou</w:t>
      </w:r>
      <w:r w:rsidRPr="001C262C">
        <w:rPr>
          <w:sz w:val="18"/>
          <w:szCs w:val="20"/>
        </w:rPr>
        <w:t xml:space="preserve"> neveřejným</w:t>
      </w:r>
      <w:r w:rsidR="00EB40A0">
        <w:rPr>
          <w:sz w:val="18"/>
          <w:szCs w:val="20"/>
        </w:rPr>
        <w:t>i</w:t>
      </w:r>
      <w:r w:rsidRPr="001C262C">
        <w:rPr>
          <w:sz w:val="18"/>
          <w:szCs w:val="20"/>
        </w:rPr>
        <w:t xml:space="preserve"> dokument</w:t>
      </w:r>
      <w:r w:rsidR="00EB40A0">
        <w:rPr>
          <w:sz w:val="18"/>
          <w:szCs w:val="20"/>
        </w:rPr>
        <w:t>y</w:t>
      </w:r>
      <w:r w:rsidRPr="001C262C">
        <w:rPr>
          <w:sz w:val="18"/>
          <w:szCs w:val="20"/>
        </w:rPr>
        <w:t>, neboť obsahuj</w:t>
      </w:r>
      <w:r w:rsidR="00EB40A0">
        <w:rPr>
          <w:sz w:val="18"/>
          <w:szCs w:val="20"/>
        </w:rPr>
        <w:t>í</w:t>
      </w:r>
      <w:r w:rsidRPr="001C262C">
        <w:rPr>
          <w:sz w:val="18"/>
          <w:szCs w:val="20"/>
        </w:rPr>
        <w:t xml:space="preserve"> osobní údaje fyzických osob, právnických osob a podnikajících fyzických osob zahrnutých do krizového plánování. Zpravidla býv</w:t>
      </w:r>
      <w:r w:rsidR="00EB40A0">
        <w:rPr>
          <w:sz w:val="18"/>
          <w:szCs w:val="20"/>
        </w:rPr>
        <w:t>ají</w:t>
      </w:r>
      <w:r w:rsidRPr="001C262C">
        <w:rPr>
          <w:sz w:val="18"/>
          <w:szCs w:val="20"/>
        </w:rPr>
        <w:t xml:space="preserve"> zveřejněn</w:t>
      </w:r>
      <w:r w:rsidR="00EB40A0">
        <w:rPr>
          <w:sz w:val="18"/>
          <w:szCs w:val="20"/>
        </w:rPr>
        <w:t>y</w:t>
      </w:r>
      <w:r w:rsidRPr="001C262C">
        <w:rPr>
          <w:sz w:val="18"/>
          <w:szCs w:val="20"/>
        </w:rPr>
        <w:t xml:space="preserve"> pouze v podobě soupisu obsahových náležitostí.</w:t>
      </w:r>
    </w:p>
    <w:p w14:paraId="204F8316" w14:textId="77777777" w:rsidR="00CF4379" w:rsidRPr="001C262C" w:rsidRDefault="00CF4379" w:rsidP="00F90BE0">
      <w:pPr>
        <w:jc w:val="both"/>
        <w:rPr>
          <w:sz w:val="18"/>
          <w:szCs w:val="20"/>
        </w:rPr>
      </w:pPr>
    </w:p>
    <w:p w14:paraId="2564A9CD" w14:textId="77777777" w:rsidR="00CF4379" w:rsidRDefault="00CF4379" w:rsidP="00F90BE0">
      <w:pPr>
        <w:pStyle w:val="Textpoznpodarou"/>
        <w:ind w:left="0"/>
      </w:pPr>
    </w:p>
  </w:footnote>
  <w:footnote w:id="11">
    <w:p w14:paraId="70983A5D" w14:textId="77777777" w:rsidR="006B6151" w:rsidRPr="0005477F" w:rsidRDefault="006B6151" w:rsidP="006B6151">
      <w:pPr>
        <w:pStyle w:val="Textpoznpodarou"/>
        <w:ind w:left="142" w:hanging="142"/>
        <w:rPr>
          <w:sz w:val="18"/>
          <w:szCs w:val="18"/>
        </w:rPr>
      </w:pPr>
      <w:r w:rsidRPr="0005477F">
        <w:rPr>
          <w:rStyle w:val="Znakapoznpodarou"/>
          <w:b/>
          <w:sz w:val="18"/>
          <w:szCs w:val="18"/>
        </w:rPr>
        <w:footnoteRef/>
      </w:r>
      <w:r w:rsidRPr="0005477F">
        <w:rPr>
          <w:sz w:val="18"/>
          <w:szCs w:val="18"/>
        </w:rPr>
        <w:t xml:space="preserve"> </w:t>
      </w:r>
      <w:r w:rsidRPr="000E7BE4">
        <w:rPr>
          <w:i/>
          <w:sz w:val="18"/>
          <w:szCs w:val="18"/>
        </w:rPr>
        <w:t>For some projects, the existence of a regional risk assessment is more appropriate than national risk assessment.</w:t>
      </w:r>
    </w:p>
  </w:footnote>
  <w:footnote w:id="12">
    <w:p w14:paraId="1B03E584" w14:textId="77777777" w:rsidR="006B6151" w:rsidRPr="0005477F" w:rsidRDefault="006B6151" w:rsidP="006B6151">
      <w:pPr>
        <w:pStyle w:val="Textpoznpodarou"/>
        <w:ind w:left="142" w:hanging="142"/>
        <w:rPr>
          <w:sz w:val="18"/>
          <w:szCs w:val="18"/>
        </w:rPr>
      </w:pPr>
      <w:r w:rsidRPr="0005477F">
        <w:rPr>
          <w:rStyle w:val="Znakapoznpodarou"/>
          <w:sz w:val="18"/>
          <w:szCs w:val="18"/>
        </w:rPr>
        <w:footnoteRef/>
      </w:r>
      <w:r w:rsidRPr="0005477F">
        <w:rPr>
          <w:sz w:val="18"/>
          <w:szCs w:val="18"/>
        </w:rPr>
        <w:t> V současné době jsou členy zástupci MZe, MV, MŽP, ČHMÚ, ČGS, VÚV, ČIŽP, Vysoká škola báňská, CZECHGLOBE (při AV ČR), Český národní výbor pro omezování následků katastrof o.s., Svaz měst a obcí</w:t>
      </w:r>
    </w:p>
  </w:footnote>
  <w:footnote w:id="13">
    <w:p w14:paraId="7F88C9CC" w14:textId="77777777" w:rsidR="006B6151" w:rsidRPr="0005477F" w:rsidRDefault="006B6151" w:rsidP="006B6151">
      <w:pPr>
        <w:pStyle w:val="Textpoznpodarou"/>
        <w:ind w:left="142" w:hanging="142"/>
        <w:rPr>
          <w:sz w:val="18"/>
          <w:szCs w:val="18"/>
        </w:rPr>
      </w:pPr>
      <w:r w:rsidRPr="0005477F">
        <w:rPr>
          <w:rStyle w:val="Znakapoznpodarou"/>
          <w:b/>
          <w:sz w:val="18"/>
          <w:szCs w:val="18"/>
        </w:rPr>
        <w:footnoteRef/>
      </w:r>
      <w:r w:rsidRPr="0005477F">
        <w:rPr>
          <w:sz w:val="18"/>
          <w:szCs w:val="18"/>
        </w:rPr>
        <w:t xml:space="preserve"> </w:t>
      </w:r>
      <w:r w:rsidRPr="000E7BE4">
        <w:rPr>
          <w:i/>
          <w:sz w:val="18"/>
          <w:szCs w:val="18"/>
        </w:rPr>
        <w:t>In order to prepare their self-assessment, MSs are encouraged to look at the Commission Staff Working Paper on "Risk assessment and Mapping Guidelines for Disaster Management (21 December 2010, see the link in Annex).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14914" w14:textId="77777777" w:rsidR="008B30AF" w:rsidRDefault="008B30A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D275F"/>
    <w:multiLevelType w:val="hybridMultilevel"/>
    <w:tmpl w:val="4D82F156"/>
    <w:lvl w:ilvl="0" w:tplc="0809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nsid w:val="207C7643"/>
    <w:multiLevelType w:val="hybridMultilevel"/>
    <w:tmpl w:val="5B3A5A02"/>
    <w:lvl w:ilvl="0" w:tplc="08090003">
      <w:start w:val="1"/>
      <w:numFmt w:val="bullet"/>
      <w:lvlText w:val="o"/>
      <w:lvlJc w:val="left"/>
      <w:pPr>
        <w:ind w:left="1068" w:hanging="360"/>
      </w:pPr>
      <w:rPr>
        <w:rFonts w:ascii="Courier New" w:hAnsi="Courier New" w:cs="Courier New"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
    <w:nsid w:val="22850ADE"/>
    <w:multiLevelType w:val="hybridMultilevel"/>
    <w:tmpl w:val="64FA641C"/>
    <w:lvl w:ilvl="0" w:tplc="08090005">
      <w:start w:val="1"/>
      <w:numFmt w:val="bullet"/>
      <w:lvlText w:val=""/>
      <w:lvlJc w:val="left"/>
      <w:pPr>
        <w:ind w:left="927" w:hanging="360"/>
      </w:pPr>
      <w:rPr>
        <w:rFonts w:ascii="Wingdings" w:hAnsi="Wingdings"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3">
    <w:nsid w:val="23163885"/>
    <w:multiLevelType w:val="hybridMultilevel"/>
    <w:tmpl w:val="0F4EA128"/>
    <w:lvl w:ilvl="0" w:tplc="E82A2C20">
      <w:numFmt w:val="bullet"/>
      <w:lvlText w:val="-"/>
      <w:lvlJc w:val="left"/>
      <w:pPr>
        <w:ind w:left="332" w:hanging="360"/>
      </w:pPr>
      <w:rPr>
        <w:rFonts w:ascii="Calibri" w:eastAsia="Times New Roman" w:hAnsi="Calibri" w:cs="Times New Roman" w:hint="default"/>
      </w:rPr>
    </w:lvl>
    <w:lvl w:ilvl="1" w:tplc="04050003" w:tentative="1">
      <w:start w:val="1"/>
      <w:numFmt w:val="bullet"/>
      <w:lvlText w:val="o"/>
      <w:lvlJc w:val="left"/>
      <w:pPr>
        <w:ind w:left="1052" w:hanging="360"/>
      </w:pPr>
      <w:rPr>
        <w:rFonts w:ascii="Courier New" w:hAnsi="Courier New" w:cs="Courier New" w:hint="default"/>
      </w:rPr>
    </w:lvl>
    <w:lvl w:ilvl="2" w:tplc="04050005" w:tentative="1">
      <w:start w:val="1"/>
      <w:numFmt w:val="bullet"/>
      <w:lvlText w:val=""/>
      <w:lvlJc w:val="left"/>
      <w:pPr>
        <w:ind w:left="1772" w:hanging="360"/>
      </w:pPr>
      <w:rPr>
        <w:rFonts w:ascii="Wingdings" w:hAnsi="Wingdings" w:hint="default"/>
      </w:rPr>
    </w:lvl>
    <w:lvl w:ilvl="3" w:tplc="04050001" w:tentative="1">
      <w:start w:val="1"/>
      <w:numFmt w:val="bullet"/>
      <w:lvlText w:val=""/>
      <w:lvlJc w:val="left"/>
      <w:pPr>
        <w:ind w:left="2492" w:hanging="360"/>
      </w:pPr>
      <w:rPr>
        <w:rFonts w:ascii="Symbol" w:hAnsi="Symbol" w:hint="default"/>
      </w:rPr>
    </w:lvl>
    <w:lvl w:ilvl="4" w:tplc="04050003" w:tentative="1">
      <w:start w:val="1"/>
      <w:numFmt w:val="bullet"/>
      <w:lvlText w:val="o"/>
      <w:lvlJc w:val="left"/>
      <w:pPr>
        <w:ind w:left="3212" w:hanging="360"/>
      </w:pPr>
      <w:rPr>
        <w:rFonts w:ascii="Courier New" w:hAnsi="Courier New" w:cs="Courier New" w:hint="default"/>
      </w:rPr>
    </w:lvl>
    <w:lvl w:ilvl="5" w:tplc="04050005" w:tentative="1">
      <w:start w:val="1"/>
      <w:numFmt w:val="bullet"/>
      <w:lvlText w:val=""/>
      <w:lvlJc w:val="left"/>
      <w:pPr>
        <w:ind w:left="3932" w:hanging="360"/>
      </w:pPr>
      <w:rPr>
        <w:rFonts w:ascii="Wingdings" w:hAnsi="Wingdings" w:hint="default"/>
      </w:rPr>
    </w:lvl>
    <w:lvl w:ilvl="6" w:tplc="04050001" w:tentative="1">
      <w:start w:val="1"/>
      <w:numFmt w:val="bullet"/>
      <w:lvlText w:val=""/>
      <w:lvlJc w:val="left"/>
      <w:pPr>
        <w:ind w:left="4652" w:hanging="360"/>
      </w:pPr>
      <w:rPr>
        <w:rFonts w:ascii="Symbol" w:hAnsi="Symbol" w:hint="default"/>
      </w:rPr>
    </w:lvl>
    <w:lvl w:ilvl="7" w:tplc="04050003" w:tentative="1">
      <w:start w:val="1"/>
      <w:numFmt w:val="bullet"/>
      <w:lvlText w:val="o"/>
      <w:lvlJc w:val="left"/>
      <w:pPr>
        <w:ind w:left="5372" w:hanging="360"/>
      </w:pPr>
      <w:rPr>
        <w:rFonts w:ascii="Courier New" w:hAnsi="Courier New" w:cs="Courier New" w:hint="default"/>
      </w:rPr>
    </w:lvl>
    <w:lvl w:ilvl="8" w:tplc="04050005" w:tentative="1">
      <w:start w:val="1"/>
      <w:numFmt w:val="bullet"/>
      <w:lvlText w:val=""/>
      <w:lvlJc w:val="left"/>
      <w:pPr>
        <w:ind w:left="6092" w:hanging="360"/>
      </w:pPr>
      <w:rPr>
        <w:rFonts w:ascii="Wingdings" w:hAnsi="Wingdings" w:hint="default"/>
      </w:rPr>
    </w:lvl>
  </w:abstractNum>
  <w:abstractNum w:abstractNumId="4">
    <w:nsid w:val="51D472D7"/>
    <w:multiLevelType w:val="hybridMultilevel"/>
    <w:tmpl w:val="10B42B9E"/>
    <w:lvl w:ilvl="0" w:tplc="2602989A">
      <w:numFmt w:val="bullet"/>
      <w:lvlText w:val="–"/>
      <w:lvlJc w:val="left"/>
      <w:pPr>
        <w:ind w:left="360" w:hanging="360"/>
      </w:pPr>
      <w:rPr>
        <w:rFonts w:ascii="Times New Roman" w:eastAsia="Calibri"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60183603"/>
    <w:multiLevelType w:val="hybridMultilevel"/>
    <w:tmpl w:val="65B426D6"/>
    <w:lvl w:ilvl="0" w:tplc="2602989A">
      <w:numFmt w:val="bullet"/>
      <w:lvlText w:val="–"/>
      <w:lvlJc w:val="left"/>
      <w:pPr>
        <w:ind w:left="360" w:hanging="360"/>
      </w:pPr>
      <w:rPr>
        <w:rFonts w:ascii="Times New Roman" w:eastAsia="Calibri"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67556D84"/>
    <w:multiLevelType w:val="hybridMultilevel"/>
    <w:tmpl w:val="0216645E"/>
    <w:lvl w:ilvl="0" w:tplc="2602989A">
      <w:numFmt w:val="bullet"/>
      <w:lvlText w:val="–"/>
      <w:lvlJc w:val="left"/>
      <w:pPr>
        <w:ind w:left="6" w:hanging="360"/>
      </w:pPr>
      <w:rPr>
        <w:rFonts w:ascii="Times New Roman" w:eastAsia="Calibri" w:hAnsi="Times New Roman" w:cs="Times New Roman" w:hint="default"/>
      </w:rPr>
    </w:lvl>
    <w:lvl w:ilvl="1" w:tplc="FFECC334">
      <w:numFmt w:val="bullet"/>
      <w:lvlText w:val="-"/>
      <w:lvlJc w:val="left"/>
      <w:pPr>
        <w:ind w:left="726" w:hanging="360"/>
      </w:pPr>
      <w:rPr>
        <w:rFonts w:ascii="Calibri" w:eastAsia="Calibri" w:hAnsi="Calibri" w:cs="Calibri"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7">
    <w:nsid w:val="6A5B6E0C"/>
    <w:multiLevelType w:val="hybridMultilevel"/>
    <w:tmpl w:val="C90445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55F04E3"/>
    <w:multiLevelType w:val="hybridMultilevel"/>
    <w:tmpl w:val="2728B1D4"/>
    <w:lvl w:ilvl="0" w:tplc="04050005">
      <w:start w:val="1"/>
      <w:numFmt w:val="bullet"/>
      <w:lvlText w:val=""/>
      <w:lvlJc w:val="left"/>
      <w:pPr>
        <w:ind w:left="-108" w:hanging="360"/>
      </w:pPr>
      <w:rPr>
        <w:rFonts w:ascii="Wingdings" w:hAnsi="Wingdings" w:hint="default"/>
      </w:rPr>
    </w:lvl>
    <w:lvl w:ilvl="1" w:tplc="04050003" w:tentative="1">
      <w:start w:val="1"/>
      <w:numFmt w:val="bullet"/>
      <w:lvlText w:val="o"/>
      <w:lvlJc w:val="left"/>
      <w:pPr>
        <w:ind w:left="612" w:hanging="360"/>
      </w:pPr>
      <w:rPr>
        <w:rFonts w:ascii="Courier New" w:hAnsi="Courier New" w:cs="Courier New" w:hint="default"/>
      </w:rPr>
    </w:lvl>
    <w:lvl w:ilvl="2" w:tplc="04050005" w:tentative="1">
      <w:start w:val="1"/>
      <w:numFmt w:val="bullet"/>
      <w:lvlText w:val=""/>
      <w:lvlJc w:val="left"/>
      <w:pPr>
        <w:ind w:left="1332" w:hanging="360"/>
      </w:pPr>
      <w:rPr>
        <w:rFonts w:ascii="Wingdings" w:hAnsi="Wingdings" w:hint="default"/>
      </w:rPr>
    </w:lvl>
    <w:lvl w:ilvl="3" w:tplc="04050001" w:tentative="1">
      <w:start w:val="1"/>
      <w:numFmt w:val="bullet"/>
      <w:lvlText w:val=""/>
      <w:lvlJc w:val="left"/>
      <w:pPr>
        <w:ind w:left="2052" w:hanging="360"/>
      </w:pPr>
      <w:rPr>
        <w:rFonts w:ascii="Symbol" w:hAnsi="Symbol" w:hint="default"/>
      </w:rPr>
    </w:lvl>
    <w:lvl w:ilvl="4" w:tplc="04050003" w:tentative="1">
      <w:start w:val="1"/>
      <w:numFmt w:val="bullet"/>
      <w:lvlText w:val="o"/>
      <w:lvlJc w:val="left"/>
      <w:pPr>
        <w:ind w:left="2772" w:hanging="360"/>
      </w:pPr>
      <w:rPr>
        <w:rFonts w:ascii="Courier New" w:hAnsi="Courier New" w:cs="Courier New" w:hint="default"/>
      </w:rPr>
    </w:lvl>
    <w:lvl w:ilvl="5" w:tplc="04050005" w:tentative="1">
      <w:start w:val="1"/>
      <w:numFmt w:val="bullet"/>
      <w:lvlText w:val=""/>
      <w:lvlJc w:val="left"/>
      <w:pPr>
        <w:ind w:left="3492" w:hanging="360"/>
      </w:pPr>
      <w:rPr>
        <w:rFonts w:ascii="Wingdings" w:hAnsi="Wingdings" w:hint="default"/>
      </w:rPr>
    </w:lvl>
    <w:lvl w:ilvl="6" w:tplc="04050001" w:tentative="1">
      <w:start w:val="1"/>
      <w:numFmt w:val="bullet"/>
      <w:lvlText w:val=""/>
      <w:lvlJc w:val="left"/>
      <w:pPr>
        <w:ind w:left="4212" w:hanging="360"/>
      </w:pPr>
      <w:rPr>
        <w:rFonts w:ascii="Symbol" w:hAnsi="Symbol" w:hint="default"/>
      </w:rPr>
    </w:lvl>
    <w:lvl w:ilvl="7" w:tplc="04050003" w:tentative="1">
      <w:start w:val="1"/>
      <w:numFmt w:val="bullet"/>
      <w:lvlText w:val="o"/>
      <w:lvlJc w:val="left"/>
      <w:pPr>
        <w:ind w:left="4932" w:hanging="360"/>
      </w:pPr>
      <w:rPr>
        <w:rFonts w:ascii="Courier New" w:hAnsi="Courier New" w:cs="Courier New" w:hint="default"/>
      </w:rPr>
    </w:lvl>
    <w:lvl w:ilvl="8" w:tplc="04050005" w:tentative="1">
      <w:start w:val="1"/>
      <w:numFmt w:val="bullet"/>
      <w:lvlText w:val=""/>
      <w:lvlJc w:val="left"/>
      <w:pPr>
        <w:ind w:left="5652" w:hanging="360"/>
      </w:pPr>
      <w:rPr>
        <w:rFonts w:ascii="Wingdings" w:hAnsi="Wingdings" w:hint="default"/>
      </w:rPr>
    </w:lvl>
  </w:abstractNum>
  <w:abstractNum w:abstractNumId="9">
    <w:nsid w:val="799C19E8"/>
    <w:multiLevelType w:val="hybridMultilevel"/>
    <w:tmpl w:val="702019FA"/>
    <w:lvl w:ilvl="0" w:tplc="08090005">
      <w:start w:val="1"/>
      <w:numFmt w:val="bullet"/>
      <w:lvlText w:val=""/>
      <w:lvlJc w:val="left"/>
      <w:pPr>
        <w:ind w:left="927" w:hanging="360"/>
      </w:pPr>
      <w:rPr>
        <w:rFonts w:ascii="Wingdings" w:hAnsi="Wingding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nsid w:val="7D8B1BCC"/>
    <w:multiLevelType w:val="hybridMultilevel"/>
    <w:tmpl w:val="9F2AABEE"/>
    <w:lvl w:ilvl="0" w:tplc="8EFE34C4">
      <w:start w:val="1"/>
      <w:numFmt w:val="decimal"/>
      <w:pStyle w:val="Styl2"/>
      <w:lvlText w:val="%1."/>
      <w:lvlJc w:val="left"/>
      <w:pPr>
        <w:ind w:left="720" w:hanging="360"/>
      </w:pPr>
      <w:rPr>
        <w:rFonts w:ascii="Cambria" w:hAnsi="Cambria" w:hint="default"/>
        <w:b/>
        <w:bCs w:val="0"/>
        <w:i w:val="0"/>
        <w:iCs w:val="0"/>
        <w:caps w:val="0"/>
        <w:smallCaps w:val="0"/>
        <w:strike w:val="0"/>
        <w:dstrike w:val="0"/>
        <w:outline w:val="0"/>
        <w:shadow w:val="0"/>
        <w:emboss w:val="0"/>
        <w:imprint w:val="0"/>
        <w:snapToGrid w:val="0"/>
        <w:vanish w:val="0"/>
        <w:color w:val="76923C" w:themeColor="accent3" w:themeShade="BF"/>
        <w:spacing w:val="0"/>
        <w:w w:val="0"/>
        <w:kern w:val="0"/>
        <w:position w:val="0"/>
        <w:sz w:val="18"/>
        <w:szCs w:val="18"/>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E554CBA"/>
    <w:multiLevelType w:val="hybridMultilevel"/>
    <w:tmpl w:val="E04A002C"/>
    <w:lvl w:ilvl="0" w:tplc="04050005">
      <w:start w:val="1"/>
      <w:numFmt w:val="bullet"/>
      <w:lvlText w:val=""/>
      <w:lvlJc w:val="left"/>
      <w:pPr>
        <w:ind w:left="1068" w:hanging="360"/>
      </w:pPr>
      <w:rPr>
        <w:rFonts w:ascii="Wingdings" w:hAnsi="Wingdings"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num w:numId="1">
    <w:abstractNumId w:val="7"/>
  </w:num>
  <w:num w:numId="2">
    <w:abstractNumId w:val="6"/>
  </w:num>
  <w:num w:numId="3">
    <w:abstractNumId w:val="2"/>
  </w:num>
  <w:num w:numId="4">
    <w:abstractNumId w:val="11"/>
  </w:num>
  <w:num w:numId="5">
    <w:abstractNumId w:val="5"/>
  </w:num>
  <w:num w:numId="6">
    <w:abstractNumId w:val="9"/>
  </w:num>
  <w:num w:numId="7">
    <w:abstractNumId w:val="8"/>
  </w:num>
  <w:num w:numId="8">
    <w:abstractNumId w:val="1"/>
  </w:num>
  <w:num w:numId="9">
    <w:abstractNumId w:val="0"/>
  </w:num>
  <w:num w:numId="10">
    <w:abstractNumId w:val="4"/>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21B"/>
    <w:rsid w:val="000043FB"/>
    <w:rsid w:val="00011D9F"/>
    <w:rsid w:val="000121A2"/>
    <w:rsid w:val="0002766A"/>
    <w:rsid w:val="0003009C"/>
    <w:rsid w:val="00030738"/>
    <w:rsid w:val="0003148F"/>
    <w:rsid w:val="00034267"/>
    <w:rsid w:val="00034FEC"/>
    <w:rsid w:val="000369DE"/>
    <w:rsid w:val="0005222F"/>
    <w:rsid w:val="0005477F"/>
    <w:rsid w:val="00055FC0"/>
    <w:rsid w:val="00056624"/>
    <w:rsid w:val="00075A14"/>
    <w:rsid w:val="0008165B"/>
    <w:rsid w:val="00084009"/>
    <w:rsid w:val="0008704A"/>
    <w:rsid w:val="00092966"/>
    <w:rsid w:val="0009298A"/>
    <w:rsid w:val="0009554B"/>
    <w:rsid w:val="000A27E5"/>
    <w:rsid w:val="000B6E9F"/>
    <w:rsid w:val="000D21D4"/>
    <w:rsid w:val="000D22FD"/>
    <w:rsid w:val="000D76D1"/>
    <w:rsid w:val="000E571F"/>
    <w:rsid w:val="000E6877"/>
    <w:rsid w:val="000E7BE4"/>
    <w:rsid w:val="000F6135"/>
    <w:rsid w:val="00106761"/>
    <w:rsid w:val="00110C55"/>
    <w:rsid w:val="0013582D"/>
    <w:rsid w:val="0014286D"/>
    <w:rsid w:val="00146F1E"/>
    <w:rsid w:val="001557FF"/>
    <w:rsid w:val="001644F3"/>
    <w:rsid w:val="00175731"/>
    <w:rsid w:val="00182E09"/>
    <w:rsid w:val="00185D5F"/>
    <w:rsid w:val="00185D69"/>
    <w:rsid w:val="00186059"/>
    <w:rsid w:val="00197024"/>
    <w:rsid w:val="001A13EB"/>
    <w:rsid w:val="001A212A"/>
    <w:rsid w:val="001B5525"/>
    <w:rsid w:val="001C11E4"/>
    <w:rsid w:val="001D5456"/>
    <w:rsid w:val="001D6AFD"/>
    <w:rsid w:val="001D76F6"/>
    <w:rsid w:val="001E0B42"/>
    <w:rsid w:val="001F345D"/>
    <w:rsid w:val="00200A8E"/>
    <w:rsid w:val="00202D58"/>
    <w:rsid w:val="0021191C"/>
    <w:rsid w:val="00237618"/>
    <w:rsid w:val="002478A8"/>
    <w:rsid w:val="002545FF"/>
    <w:rsid w:val="0025551A"/>
    <w:rsid w:val="00261839"/>
    <w:rsid w:val="00266C9F"/>
    <w:rsid w:val="00275F1C"/>
    <w:rsid w:val="002802F9"/>
    <w:rsid w:val="00286379"/>
    <w:rsid w:val="00287F09"/>
    <w:rsid w:val="002951DF"/>
    <w:rsid w:val="002A2A1A"/>
    <w:rsid w:val="002B063B"/>
    <w:rsid w:val="002B6AEE"/>
    <w:rsid w:val="002D0E04"/>
    <w:rsid w:val="002D4371"/>
    <w:rsid w:val="002D4893"/>
    <w:rsid w:val="002E3979"/>
    <w:rsid w:val="002F07A8"/>
    <w:rsid w:val="002F686D"/>
    <w:rsid w:val="00316928"/>
    <w:rsid w:val="00317568"/>
    <w:rsid w:val="00323489"/>
    <w:rsid w:val="00326855"/>
    <w:rsid w:val="00332CC2"/>
    <w:rsid w:val="00342F6B"/>
    <w:rsid w:val="003449EF"/>
    <w:rsid w:val="00354AD9"/>
    <w:rsid w:val="0036661A"/>
    <w:rsid w:val="00367663"/>
    <w:rsid w:val="003735DA"/>
    <w:rsid w:val="00373BF3"/>
    <w:rsid w:val="00377A2C"/>
    <w:rsid w:val="0039049E"/>
    <w:rsid w:val="00391B4D"/>
    <w:rsid w:val="0039654B"/>
    <w:rsid w:val="00397A10"/>
    <w:rsid w:val="003A3E8C"/>
    <w:rsid w:val="003A6D68"/>
    <w:rsid w:val="003A7458"/>
    <w:rsid w:val="003A756F"/>
    <w:rsid w:val="003B61A6"/>
    <w:rsid w:val="003B66A2"/>
    <w:rsid w:val="003B793A"/>
    <w:rsid w:val="003C04AD"/>
    <w:rsid w:val="003C456D"/>
    <w:rsid w:val="003C7786"/>
    <w:rsid w:val="003E1FCF"/>
    <w:rsid w:val="003E4A7D"/>
    <w:rsid w:val="003F4AEA"/>
    <w:rsid w:val="0040421B"/>
    <w:rsid w:val="004104EB"/>
    <w:rsid w:val="00416873"/>
    <w:rsid w:val="00423DC7"/>
    <w:rsid w:val="004304C2"/>
    <w:rsid w:val="004307ED"/>
    <w:rsid w:val="00434512"/>
    <w:rsid w:val="00435F1C"/>
    <w:rsid w:val="00440042"/>
    <w:rsid w:val="00440E9B"/>
    <w:rsid w:val="00444C3E"/>
    <w:rsid w:val="00447EAD"/>
    <w:rsid w:val="00451C2C"/>
    <w:rsid w:val="0045390A"/>
    <w:rsid w:val="00463AEF"/>
    <w:rsid w:val="0046595F"/>
    <w:rsid w:val="00465C6A"/>
    <w:rsid w:val="0048503F"/>
    <w:rsid w:val="00496E65"/>
    <w:rsid w:val="004A0299"/>
    <w:rsid w:val="004A195D"/>
    <w:rsid w:val="004A6482"/>
    <w:rsid w:val="004A6AF2"/>
    <w:rsid w:val="004A798A"/>
    <w:rsid w:val="004B58CD"/>
    <w:rsid w:val="004B6B40"/>
    <w:rsid w:val="004C7414"/>
    <w:rsid w:val="004D157B"/>
    <w:rsid w:val="004D224A"/>
    <w:rsid w:val="004E0374"/>
    <w:rsid w:val="004E7E5D"/>
    <w:rsid w:val="004F0210"/>
    <w:rsid w:val="004F6CA5"/>
    <w:rsid w:val="005024AA"/>
    <w:rsid w:val="00504658"/>
    <w:rsid w:val="005074D4"/>
    <w:rsid w:val="005113BE"/>
    <w:rsid w:val="0051257C"/>
    <w:rsid w:val="00521792"/>
    <w:rsid w:val="00541B04"/>
    <w:rsid w:val="00554F2B"/>
    <w:rsid w:val="00555548"/>
    <w:rsid w:val="005563E3"/>
    <w:rsid w:val="00563DEE"/>
    <w:rsid w:val="00564B22"/>
    <w:rsid w:val="0056657E"/>
    <w:rsid w:val="00566C4E"/>
    <w:rsid w:val="00567396"/>
    <w:rsid w:val="005816D9"/>
    <w:rsid w:val="00582FB8"/>
    <w:rsid w:val="00584CA7"/>
    <w:rsid w:val="00591BBE"/>
    <w:rsid w:val="0059414F"/>
    <w:rsid w:val="00596E4F"/>
    <w:rsid w:val="005A6568"/>
    <w:rsid w:val="005C4C50"/>
    <w:rsid w:val="005C72F0"/>
    <w:rsid w:val="005D2FE6"/>
    <w:rsid w:val="005E08C2"/>
    <w:rsid w:val="005E3712"/>
    <w:rsid w:val="005F2571"/>
    <w:rsid w:val="005F2B41"/>
    <w:rsid w:val="005F3C26"/>
    <w:rsid w:val="005F5818"/>
    <w:rsid w:val="005F5DC0"/>
    <w:rsid w:val="005F7F5A"/>
    <w:rsid w:val="00600CA9"/>
    <w:rsid w:val="0060190F"/>
    <w:rsid w:val="0061036C"/>
    <w:rsid w:val="00614B7C"/>
    <w:rsid w:val="0062630E"/>
    <w:rsid w:val="00644AAB"/>
    <w:rsid w:val="006462F2"/>
    <w:rsid w:val="00667B6B"/>
    <w:rsid w:val="00683FF0"/>
    <w:rsid w:val="0069590B"/>
    <w:rsid w:val="006A3551"/>
    <w:rsid w:val="006A4854"/>
    <w:rsid w:val="006B340E"/>
    <w:rsid w:val="006B6151"/>
    <w:rsid w:val="006B7618"/>
    <w:rsid w:val="006C33EB"/>
    <w:rsid w:val="006C369D"/>
    <w:rsid w:val="006C6D0B"/>
    <w:rsid w:val="006C7FE1"/>
    <w:rsid w:val="006E25F8"/>
    <w:rsid w:val="006E43D9"/>
    <w:rsid w:val="007002B5"/>
    <w:rsid w:val="007008D1"/>
    <w:rsid w:val="00706885"/>
    <w:rsid w:val="00714FDD"/>
    <w:rsid w:val="00715F3D"/>
    <w:rsid w:val="00742A83"/>
    <w:rsid w:val="00744446"/>
    <w:rsid w:val="0076030A"/>
    <w:rsid w:val="00765C00"/>
    <w:rsid w:val="00770BF3"/>
    <w:rsid w:val="00785730"/>
    <w:rsid w:val="007A0682"/>
    <w:rsid w:val="007A1D96"/>
    <w:rsid w:val="007A2363"/>
    <w:rsid w:val="007A77AE"/>
    <w:rsid w:val="007A7AF6"/>
    <w:rsid w:val="007C193F"/>
    <w:rsid w:val="007C6276"/>
    <w:rsid w:val="007D53FA"/>
    <w:rsid w:val="007D6B49"/>
    <w:rsid w:val="007E0A3B"/>
    <w:rsid w:val="007E3BCB"/>
    <w:rsid w:val="007E6198"/>
    <w:rsid w:val="007E7B3D"/>
    <w:rsid w:val="00805CC9"/>
    <w:rsid w:val="00810977"/>
    <w:rsid w:val="008165D1"/>
    <w:rsid w:val="00816A2B"/>
    <w:rsid w:val="00824FDB"/>
    <w:rsid w:val="008330A4"/>
    <w:rsid w:val="00837486"/>
    <w:rsid w:val="00842778"/>
    <w:rsid w:val="00843097"/>
    <w:rsid w:val="00844291"/>
    <w:rsid w:val="00853097"/>
    <w:rsid w:val="008579EA"/>
    <w:rsid w:val="00873EF7"/>
    <w:rsid w:val="00890429"/>
    <w:rsid w:val="00893433"/>
    <w:rsid w:val="008976C7"/>
    <w:rsid w:val="008A112D"/>
    <w:rsid w:val="008A5A2E"/>
    <w:rsid w:val="008A7507"/>
    <w:rsid w:val="008B1204"/>
    <w:rsid w:val="008B30AF"/>
    <w:rsid w:val="008B3BD2"/>
    <w:rsid w:val="008E159C"/>
    <w:rsid w:val="008E29DA"/>
    <w:rsid w:val="008E42D3"/>
    <w:rsid w:val="008E52A2"/>
    <w:rsid w:val="008E6B02"/>
    <w:rsid w:val="008F60CE"/>
    <w:rsid w:val="008F6574"/>
    <w:rsid w:val="00922A90"/>
    <w:rsid w:val="009310A7"/>
    <w:rsid w:val="0093369E"/>
    <w:rsid w:val="009355BF"/>
    <w:rsid w:val="00940558"/>
    <w:rsid w:val="00942C0F"/>
    <w:rsid w:val="009458CC"/>
    <w:rsid w:val="009619C3"/>
    <w:rsid w:val="00964C6A"/>
    <w:rsid w:val="00965911"/>
    <w:rsid w:val="009800A5"/>
    <w:rsid w:val="00986551"/>
    <w:rsid w:val="00987196"/>
    <w:rsid w:val="00990585"/>
    <w:rsid w:val="009968C6"/>
    <w:rsid w:val="009A6B4D"/>
    <w:rsid w:val="009B6B6C"/>
    <w:rsid w:val="009B757E"/>
    <w:rsid w:val="009C01D5"/>
    <w:rsid w:val="009C3BA5"/>
    <w:rsid w:val="009C799F"/>
    <w:rsid w:val="009D50EE"/>
    <w:rsid w:val="009D6387"/>
    <w:rsid w:val="009F40A0"/>
    <w:rsid w:val="009F5F23"/>
    <w:rsid w:val="00A026B0"/>
    <w:rsid w:val="00A10796"/>
    <w:rsid w:val="00A1118C"/>
    <w:rsid w:val="00A11E0D"/>
    <w:rsid w:val="00A14019"/>
    <w:rsid w:val="00A15F16"/>
    <w:rsid w:val="00A17A42"/>
    <w:rsid w:val="00A26323"/>
    <w:rsid w:val="00A362C8"/>
    <w:rsid w:val="00A40A77"/>
    <w:rsid w:val="00A56B3A"/>
    <w:rsid w:val="00A70DDF"/>
    <w:rsid w:val="00A72002"/>
    <w:rsid w:val="00A73596"/>
    <w:rsid w:val="00A80CF4"/>
    <w:rsid w:val="00A925BA"/>
    <w:rsid w:val="00AB23D6"/>
    <w:rsid w:val="00AB5D70"/>
    <w:rsid w:val="00AC7930"/>
    <w:rsid w:val="00AE3E29"/>
    <w:rsid w:val="00B053DA"/>
    <w:rsid w:val="00B119BA"/>
    <w:rsid w:val="00B200BA"/>
    <w:rsid w:val="00B2265C"/>
    <w:rsid w:val="00B42145"/>
    <w:rsid w:val="00B4587D"/>
    <w:rsid w:val="00B5488E"/>
    <w:rsid w:val="00B65A75"/>
    <w:rsid w:val="00B65D90"/>
    <w:rsid w:val="00B676B8"/>
    <w:rsid w:val="00B83410"/>
    <w:rsid w:val="00B928A7"/>
    <w:rsid w:val="00B957DF"/>
    <w:rsid w:val="00BA4ACB"/>
    <w:rsid w:val="00BA6E6C"/>
    <w:rsid w:val="00BB3395"/>
    <w:rsid w:val="00BD2B96"/>
    <w:rsid w:val="00BE0D37"/>
    <w:rsid w:val="00BF5E09"/>
    <w:rsid w:val="00BF6A18"/>
    <w:rsid w:val="00C1052E"/>
    <w:rsid w:val="00C1375A"/>
    <w:rsid w:val="00C1442F"/>
    <w:rsid w:val="00C1465D"/>
    <w:rsid w:val="00C2347F"/>
    <w:rsid w:val="00C235A0"/>
    <w:rsid w:val="00C30AA8"/>
    <w:rsid w:val="00C35377"/>
    <w:rsid w:val="00C41EFD"/>
    <w:rsid w:val="00C44122"/>
    <w:rsid w:val="00C45F7A"/>
    <w:rsid w:val="00C47AB1"/>
    <w:rsid w:val="00C54250"/>
    <w:rsid w:val="00C629DE"/>
    <w:rsid w:val="00C64590"/>
    <w:rsid w:val="00C660B7"/>
    <w:rsid w:val="00C6688E"/>
    <w:rsid w:val="00C72A9C"/>
    <w:rsid w:val="00C73A71"/>
    <w:rsid w:val="00C7577B"/>
    <w:rsid w:val="00C75A99"/>
    <w:rsid w:val="00C84396"/>
    <w:rsid w:val="00C91A3C"/>
    <w:rsid w:val="00CA2653"/>
    <w:rsid w:val="00CA620D"/>
    <w:rsid w:val="00CA62E4"/>
    <w:rsid w:val="00CA6C17"/>
    <w:rsid w:val="00CB18AB"/>
    <w:rsid w:val="00CB5760"/>
    <w:rsid w:val="00CC0614"/>
    <w:rsid w:val="00CC2233"/>
    <w:rsid w:val="00CC65E9"/>
    <w:rsid w:val="00CC7198"/>
    <w:rsid w:val="00CE3F34"/>
    <w:rsid w:val="00CE5CC1"/>
    <w:rsid w:val="00CF2014"/>
    <w:rsid w:val="00CF4379"/>
    <w:rsid w:val="00D04F35"/>
    <w:rsid w:val="00D053A0"/>
    <w:rsid w:val="00D1749F"/>
    <w:rsid w:val="00D17FC4"/>
    <w:rsid w:val="00D20718"/>
    <w:rsid w:val="00D2131B"/>
    <w:rsid w:val="00D21C59"/>
    <w:rsid w:val="00D27AF2"/>
    <w:rsid w:val="00D3344A"/>
    <w:rsid w:val="00D4102A"/>
    <w:rsid w:val="00D46AA4"/>
    <w:rsid w:val="00D507DF"/>
    <w:rsid w:val="00D5214C"/>
    <w:rsid w:val="00D548FA"/>
    <w:rsid w:val="00D5695F"/>
    <w:rsid w:val="00D8521B"/>
    <w:rsid w:val="00D93B8B"/>
    <w:rsid w:val="00DC27AB"/>
    <w:rsid w:val="00DC6DB4"/>
    <w:rsid w:val="00DD046B"/>
    <w:rsid w:val="00E0477B"/>
    <w:rsid w:val="00E10604"/>
    <w:rsid w:val="00E117DF"/>
    <w:rsid w:val="00E14A04"/>
    <w:rsid w:val="00E20EA7"/>
    <w:rsid w:val="00E269CC"/>
    <w:rsid w:val="00E37ABF"/>
    <w:rsid w:val="00E521B8"/>
    <w:rsid w:val="00E67529"/>
    <w:rsid w:val="00E6783E"/>
    <w:rsid w:val="00E713F3"/>
    <w:rsid w:val="00E91948"/>
    <w:rsid w:val="00E96EAC"/>
    <w:rsid w:val="00EA3521"/>
    <w:rsid w:val="00EA4501"/>
    <w:rsid w:val="00EA6037"/>
    <w:rsid w:val="00EB0404"/>
    <w:rsid w:val="00EB40A0"/>
    <w:rsid w:val="00EC218C"/>
    <w:rsid w:val="00EE65CC"/>
    <w:rsid w:val="00EF0191"/>
    <w:rsid w:val="00EF1A6B"/>
    <w:rsid w:val="00F11450"/>
    <w:rsid w:val="00F11CB3"/>
    <w:rsid w:val="00F13F48"/>
    <w:rsid w:val="00F20073"/>
    <w:rsid w:val="00F21B5B"/>
    <w:rsid w:val="00F3266A"/>
    <w:rsid w:val="00F37040"/>
    <w:rsid w:val="00F40528"/>
    <w:rsid w:val="00F50177"/>
    <w:rsid w:val="00F544DD"/>
    <w:rsid w:val="00F61ACE"/>
    <w:rsid w:val="00F73512"/>
    <w:rsid w:val="00F75B62"/>
    <w:rsid w:val="00F77D9D"/>
    <w:rsid w:val="00F82751"/>
    <w:rsid w:val="00F83693"/>
    <w:rsid w:val="00F90BE0"/>
    <w:rsid w:val="00F958E9"/>
    <w:rsid w:val="00FA3632"/>
    <w:rsid w:val="00FA407A"/>
    <w:rsid w:val="00FB26CF"/>
    <w:rsid w:val="00FB4257"/>
    <w:rsid w:val="00FC182C"/>
    <w:rsid w:val="00FC49F6"/>
    <w:rsid w:val="00FC50F8"/>
    <w:rsid w:val="00FD70F3"/>
    <w:rsid w:val="00FE2FE4"/>
    <w:rsid w:val="00FF02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64A0DF-0A6F-4D63-81BB-991AB0FF0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20718"/>
    <w:pPr>
      <w:spacing w:after="200" w:line="276" w:lineRule="auto"/>
    </w:pPr>
    <w:rPr>
      <w:sz w:val="22"/>
      <w:szCs w:val="22"/>
      <w:lang w:eastAsia="en-US"/>
    </w:rPr>
  </w:style>
  <w:style w:type="paragraph" w:styleId="Nadpis1">
    <w:name w:val="heading 1"/>
    <w:basedOn w:val="Normln"/>
    <w:next w:val="Normln"/>
    <w:link w:val="Nadpis1Char"/>
    <w:uiPriority w:val="99"/>
    <w:qFormat/>
    <w:rsid w:val="00444C3E"/>
    <w:pPr>
      <w:keepNext/>
      <w:keepLines/>
      <w:spacing w:before="480" w:after="0"/>
      <w:outlineLvl w:val="0"/>
    </w:pPr>
    <w:rPr>
      <w:rFonts w:ascii="Cambria" w:eastAsia="Times New Roman" w:hAnsi="Cambria"/>
      <w:b/>
      <w:bCs/>
      <w:color w:val="76923C" w:themeColor="accent3" w:themeShade="BF"/>
      <w:sz w:val="28"/>
      <w:szCs w:val="28"/>
      <w:u w:val="single"/>
    </w:rPr>
  </w:style>
  <w:style w:type="paragraph" w:styleId="Nadpis2">
    <w:name w:val="heading 2"/>
    <w:basedOn w:val="Normln"/>
    <w:next w:val="Normln"/>
    <w:link w:val="Nadpis2Char"/>
    <w:uiPriority w:val="99"/>
    <w:unhideWhenUsed/>
    <w:qFormat/>
    <w:rsid w:val="00444C3E"/>
    <w:pPr>
      <w:keepNext/>
      <w:keepLines/>
      <w:spacing w:before="200" w:after="0"/>
      <w:outlineLvl w:val="1"/>
    </w:pPr>
    <w:rPr>
      <w:rFonts w:ascii="Cambria" w:eastAsia="Times New Roman" w:hAnsi="Cambria"/>
      <w:b/>
      <w:bCs/>
      <w:color w:val="76923C" w:themeColor="accent3" w:themeShade="BF"/>
      <w:sz w:val="26"/>
      <w:szCs w:val="26"/>
    </w:rPr>
  </w:style>
  <w:style w:type="paragraph" w:styleId="Nadpis4">
    <w:name w:val="heading 4"/>
    <w:basedOn w:val="Normln"/>
    <w:next w:val="Normln"/>
    <w:link w:val="Nadpis4Char"/>
    <w:uiPriority w:val="9"/>
    <w:semiHidden/>
    <w:unhideWhenUsed/>
    <w:qFormat/>
    <w:rsid w:val="00CE3F34"/>
    <w:pPr>
      <w:keepNext/>
      <w:keepLines/>
      <w:spacing w:before="200" w:after="0"/>
      <w:outlineLvl w:val="3"/>
    </w:pPr>
    <w:rPr>
      <w:rFonts w:ascii="Cambria" w:eastAsia="Times New Roman" w:hAnsi="Cambria"/>
      <w:b/>
      <w:bCs/>
      <w:i/>
      <w:iCs/>
      <w:color w:val="4F81BD"/>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444C3E"/>
    <w:rPr>
      <w:rFonts w:ascii="Cambria" w:eastAsia="Times New Roman" w:hAnsi="Cambria"/>
      <w:b/>
      <w:bCs/>
      <w:color w:val="76923C" w:themeColor="accent3" w:themeShade="BF"/>
      <w:sz w:val="28"/>
      <w:szCs w:val="28"/>
      <w:u w:val="single"/>
      <w:lang w:eastAsia="en-US"/>
    </w:rPr>
  </w:style>
  <w:style w:type="character" w:customStyle="1" w:styleId="Nadpis2Char">
    <w:name w:val="Nadpis 2 Char"/>
    <w:link w:val="Nadpis2"/>
    <w:uiPriority w:val="99"/>
    <w:rsid w:val="00444C3E"/>
    <w:rPr>
      <w:rFonts w:ascii="Cambria" w:eastAsia="Times New Roman" w:hAnsi="Cambria"/>
      <w:b/>
      <w:bCs/>
      <w:color w:val="76923C" w:themeColor="accent3" w:themeShade="BF"/>
      <w:sz w:val="26"/>
      <w:szCs w:val="26"/>
      <w:lang w:eastAsia="en-US"/>
    </w:rPr>
  </w:style>
  <w:style w:type="paragraph" w:customStyle="1" w:styleId="Styl2">
    <w:name w:val="Styl2"/>
    <w:basedOn w:val="Normln"/>
    <w:qFormat/>
    <w:rsid w:val="00444C3E"/>
    <w:pPr>
      <w:numPr>
        <w:numId w:val="12"/>
      </w:numPr>
      <w:spacing w:before="60" w:after="60" w:line="288" w:lineRule="auto"/>
      <w:jc w:val="both"/>
    </w:pPr>
    <w:rPr>
      <w:rFonts w:ascii="Cambria" w:eastAsia="Arial Unicode MS" w:hAnsi="Cambria"/>
      <w:b/>
      <w:color w:val="76923C" w:themeColor="accent3" w:themeShade="BF"/>
      <w:sz w:val="24"/>
      <w:lang w:eastAsia="cs-CZ"/>
    </w:rPr>
  </w:style>
  <w:style w:type="paragraph" w:customStyle="1" w:styleId="DAVA">
    <w:name w:val="DAVA"/>
    <w:basedOn w:val="Normln"/>
    <w:link w:val="DAVAChar"/>
    <w:qFormat/>
    <w:rsid w:val="00D8521B"/>
    <w:pPr>
      <w:spacing w:before="120" w:after="0" w:line="240" w:lineRule="auto"/>
      <w:jc w:val="both"/>
    </w:pPr>
    <w:rPr>
      <w:rFonts w:ascii="Times New Roman" w:eastAsia="Times New Roman" w:hAnsi="Times New Roman"/>
      <w:sz w:val="24"/>
      <w:szCs w:val="24"/>
      <w:lang w:eastAsia="cs-CZ"/>
    </w:rPr>
  </w:style>
  <w:style w:type="character" w:customStyle="1" w:styleId="DAVAChar">
    <w:name w:val="DAVA Char"/>
    <w:link w:val="DAVA"/>
    <w:rsid w:val="00D8521B"/>
    <w:rPr>
      <w:rFonts w:ascii="Times New Roman" w:eastAsia="Times New Roman" w:hAnsi="Times New Roman" w:cs="Times New Roman"/>
      <w:sz w:val="24"/>
      <w:szCs w:val="24"/>
      <w:lang w:eastAsia="cs-CZ"/>
    </w:rPr>
  </w:style>
  <w:style w:type="table" w:styleId="Mkatabulky">
    <w:name w:val="Table Grid"/>
    <w:basedOn w:val="Normlntabulka"/>
    <w:uiPriority w:val="59"/>
    <w:rsid w:val="00D8521B"/>
    <w:rPr>
      <w:rFonts w:ascii="Times New Roman" w:eastAsia="Times New Roman"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3F3F3"/>
    </w:tcPr>
  </w:style>
  <w:style w:type="paragraph" w:customStyle="1" w:styleId="Default">
    <w:name w:val="Default"/>
    <w:rsid w:val="00D8521B"/>
    <w:pPr>
      <w:autoSpaceDE w:val="0"/>
      <w:autoSpaceDN w:val="0"/>
      <w:adjustRightInd w:val="0"/>
    </w:pPr>
    <w:rPr>
      <w:rFonts w:ascii="Times New Roman" w:hAnsi="Times New Roman"/>
      <w:color w:val="000000"/>
      <w:sz w:val="24"/>
      <w:szCs w:val="24"/>
      <w:lang w:eastAsia="en-US"/>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D8521B"/>
    <w:pPr>
      <w:spacing w:after="0" w:line="240" w:lineRule="auto"/>
      <w:ind w:left="425"/>
      <w:jc w:val="both"/>
    </w:pPr>
    <w:rPr>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link w:val="Textpoznpodarou"/>
    <w:uiPriority w:val="99"/>
    <w:rsid w:val="00D8521B"/>
    <w:rPr>
      <w:sz w:val="20"/>
      <w:szCs w:val="20"/>
    </w:rPr>
  </w:style>
  <w:style w:type="character" w:styleId="Znakapoznpodarou">
    <w:name w:val="footnote reference"/>
    <w:uiPriority w:val="99"/>
    <w:semiHidden/>
    <w:unhideWhenUsed/>
    <w:rsid w:val="00D8521B"/>
    <w:rPr>
      <w:vertAlign w:val="superscript"/>
    </w:rPr>
  </w:style>
  <w:style w:type="paragraph" w:styleId="Odstavecseseznamem">
    <w:name w:val="List Paragraph"/>
    <w:basedOn w:val="Normln"/>
    <w:uiPriority w:val="34"/>
    <w:qFormat/>
    <w:rsid w:val="00D93B8B"/>
    <w:pPr>
      <w:ind w:left="720"/>
      <w:contextualSpacing/>
    </w:pPr>
  </w:style>
  <w:style w:type="paragraph" w:styleId="Textbubliny">
    <w:name w:val="Balloon Text"/>
    <w:basedOn w:val="Normln"/>
    <w:link w:val="TextbublinyChar"/>
    <w:uiPriority w:val="99"/>
    <w:semiHidden/>
    <w:unhideWhenUsed/>
    <w:rsid w:val="00F77D9D"/>
    <w:pPr>
      <w:spacing w:after="0" w:line="240" w:lineRule="auto"/>
    </w:pPr>
    <w:rPr>
      <w:rFonts w:ascii="Tahoma" w:hAnsi="Tahoma"/>
      <w:sz w:val="16"/>
      <w:szCs w:val="16"/>
    </w:rPr>
  </w:style>
  <w:style w:type="character" w:customStyle="1" w:styleId="TextbublinyChar">
    <w:name w:val="Text bubliny Char"/>
    <w:link w:val="Textbubliny"/>
    <w:uiPriority w:val="99"/>
    <w:semiHidden/>
    <w:rsid w:val="00F77D9D"/>
    <w:rPr>
      <w:rFonts w:ascii="Tahoma" w:hAnsi="Tahoma" w:cs="Tahoma"/>
      <w:sz w:val="16"/>
      <w:szCs w:val="16"/>
    </w:rPr>
  </w:style>
  <w:style w:type="character" w:customStyle="1" w:styleId="Nadpis4Char">
    <w:name w:val="Nadpis 4 Char"/>
    <w:link w:val="Nadpis4"/>
    <w:uiPriority w:val="9"/>
    <w:semiHidden/>
    <w:rsid w:val="00CE3F34"/>
    <w:rPr>
      <w:rFonts w:ascii="Cambria" w:eastAsia="Times New Roman" w:hAnsi="Cambria" w:cs="Times New Roman"/>
      <w:b/>
      <w:bCs/>
      <w:i/>
      <w:iCs/>
      <w:color w:val="4F81BD"/>
    </w:rPr>
  </w:style>
  <w:style w:type="character" w:styleId="Hypertextovodkaz">
    <w:name w:val="Hyperlink"/>
    <w:uiPriority w:val="99"/>
    <w:unhideWhenUsed/>
    <w:rsid w:val="001A13EB"/>
    <w:rPr>
      <w:color w:val="0000FF"/>
      <w:u w:val="single"/>
    </w:rPr>
  </w:style>
  <w:style w:type="character" w:styleId="Odkaznakoment">
    <w:name w:val="annotation reference"/>
    <w:uiPriority w:val="99"/>
    <w:semiHidden/>
    <w:unhideWhenUsed/>
    <w:rsid w:val="00092966"/>
    <w:rPr>
      <w:sz w:val="16"/>
      <w:szCs w:val="16"/>
    </w:rPr>
  </w:style>
  <w:style w:type="paragraph" w:styleId="Textkomente">
    <w:name w:val="annotation text"/>
    <w:basedOn w:val="Normln"/>
    <w:link w:val="TextkomenteChar"/>
    <w:uiPriority w:val="99"/>
    <w:unhideWhenUsed/>
    <w:rsid w:val="00092966"/>
    <w:pPr>
      <w:spacing w:line="240" w:lineRule="auto"/>
    </w:pPr>
    <w:rPr>
      <w:sz w:val="20"/>
      <w:szCs w:val="20"/>
    </w:rPr>
  </w:style>
  <w:style w:type="character" w:customStyle="1" w:styleId="TextkomenteChar">
    <w:name w:val="Text komentáře Char"/>
    <w:link w:val="Textkomente"/>
    <w:uiPriority w:val="99"/>
    <w:rsid w:val="00092966"/>
    <w:rPr>
      <w:sz w:val="20"/>
      <w:szCs w:val="20"/>
    </w:rPr>
  </w:style>
  <w:style w:type="paragraph" w:styleId="Pedmtkomente">
    <w:name w:val="annotation subject"/>
    <w:basedOn w:val="Textkomente"/>
    <w:next w:val="Textkomente"/>
    <w:link w:val="PedmtkomenteChar"/>
    <w:uiPriority w:val="99"/>
    <w:semiHidden/>
    <w:unhideWhenUsed/>
    <w:rsid w:val="00092966"/>
    <w:rPr>
      <w:b/>
      <w:bCs/>
    </w:rPr>
  </w:style>
  <w:style w:type="character" w:customStyle="1" w:styleId="PedmtkomenteChar">
    <w:name w:val="Předmět komentáře Char"/>
    <w:link w:val="Pedmtkomente"/>
    <w:uiPriority w:val="99"/>
    <w:semiHidden/>
    <w:rsid w:val="00092966"/>
    <w:rPr>
      <w:b/>
      <w:bCs/>
      <w:sz w:val="20"/>
      <w:szCs w:val="20"/>
    </w:rPr>
  </w:style>
  <w:style w:type="paragraph" w:styleId="Zhlav">
    <w:name w:val="header"/>
    <w:basedOn w:val="Normln"/>
    <w:link w:val="ZhlavChar"/>
    <w:uiPriority w:val="99"/>
    <w:unhideWhenUsed/>
    <w:rsid w:val="005F581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5818"/>
  </w:style>
  <w:style w:type="paragraph" w:styleId="Zpat">
    <w:name w:val="footer"/>
    <w:basedOn w:val="Normln"/>
    <w:link w:val="ZpatChar"/>
    <w:uiPriority w:val="99"/>
    <w:unhideWhenUsed/>
    <w:rsid w:val="005F5818"/>
    <w:pPr>
      <w:tabs>
        <w:tab w:val="center" w:pos="4536"/>
        <w:tab w:val="right" w:pos="9072"/>
      </w:tabs>
      <w:spacing w:after="0" w:line="240" w:lineRule="auto"/>
    </w:pPr>
  </w:style>
  <w:style w:type="character" w:customStyle="1" w:styleId="ZpatChar">
    <w:name w:val="Zápatí Char"/>
    <w:basedOn w:val="Standardnpsmoodstavce"/>
    <w:link w:val="Zpat"/>
    <w:uiPriority w:val="99"/>
    <w:rsid w:val="005F5818"/>
  </w:style>
  <w:style w:type="character" w:styleId="Sledovanodkaz">
    <w:name w:val="FollowedHyperlink"/>
    <w:uiPriority w:val="99"/>
    <w:semiHidden/>
    <w:unhideWhenUsed/>
    <w:rsid w:val="00C1442F"/>
    <w:rPr>
      <w:color w:val="800080"/>
      <w:u w:val="single"/>
    </w:rPr>
  </w:style>
  <w:style w:type="character" w:styleId="Siln">
    <w:name w:val="Strong"/>
    <w:uiPriority w:val="22"/>
    <w:qFormat/>
    <w:rsid w:val="00A10796"/>
    <w:rPr>
      <w:b/>
      <w:bCs/>
    </w:rPr>
  </w:style>
  <w:style w:type="paragraph" w:styleId="Revize">
    <w:name w:val="Revision"/>
    <w:hidden/>
    <w:uiPriority w:val="99"/>
    <w:semiHidden/>
    <w:rsid w:val="00614B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415190">
      <w:bodyDiv w:val="1"/>
      <w:marLeft w:val="0"/>
      <w:marRight w:val="0"/>
      <w:marTop w:val="0"/>
      <w:marBottom w:val="0"/>
      <w:divBdr>
        <w:top w:val="none" w:sz="0" w:space="0" w:color="auto"/>
        <w:left w:val="none" w:sz="0" w:space="0" w:color="auto"/>
        <w:bottom w:val="none" w:sz="0" w:space="0" w:color="auto"/>
        <w:right w:val="none" w:sz="0" w:space="0" w:color="auto"/>
      </w:divBdr>
    </w:div>
    <w:div w:id="987707040">
      <w:bodyDiv w:val="1"/>
      <w:marLeft w:val="0"/>
      <w:marRight w:val="0"/>
      <w:marTop w:val="0"/>
      <w:marBottom w:val="0"/>
      <w:divBdr>
        <w:top w:val="none" w:sz="0" w:space="0" w:color="auto"/>
        <w:left w:val="none" w:sz="0" w:space="0" w:color="auto"/>
        <w:bottom w:val="none" w:sz="0" w:space="0" w:color="auto"/>
        <w:right w:val="none" w:sz="0" w:space="0" w:color="auto"/>
      </w:divBdr>
    </w:div>
    <w:div w:id="1066537589">
      <w:bodyDiv w:val="1"/>
      <w:marLeft w:val="0"/>
      <w:marRight w:val="0"/>
      <w:marTop w:val="0"/>
      <w:marBottom w:val="0"/>
      <w:divBdr>
        <w:top w:val="none" w:sz="0" w:space="0" w:color="auto"/>
        <w:left w:val="none" w:sz="0" w:space="0" w:color="auto"/>
        <w:bottom w:val="none" w:sz="0" w:space="0" w:color="auto"/>
        <w:right w:val="none" w:sz="0" w:space="0" w:color="auto"/>
      </w:divBdr>
    </w:div>
    <w:div w:id="198515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koo.pl/show.php?fid=2808&amp;lang=CZ" TargetMode="External"/><Relationship Id="rId18" Type="http://schemas.openxmlformats.org/officeDocument/2006/relationships/hyperlink" Target="http://www.mzp.cz/C1257458002F0DC7/cz/news_130108_Statni_politika_zivotniho_prostredi" TargetMode="External"/><Relationship Id="rId26" Type="http://schemas.openxmlformats.org/officeDocument/2006/relationships/hyperlink" Target="http://krizport.firebrno.cz/dokumenty/seznam-prehled-metodik-pro-analyzu-rizik" TargetMode="External"/><Relationship Id="rId3" Type="http://schemas.openxmlformats.org/officeDocument/2006/relationships/styles" Target="styles.xml"/><Relationship Id="rId21" Type="http://schemas.openxmlformats.org/officeDocument/2006/relationships/hyperlink" Target="http://portal.chmi.cz/files/portal/docs/meteo/om/sivs/sivs.htm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kse-mkol.org/index.php?id=513&amp;L=1" TargetMode="External"/><Relationship Id="rId17" Type="http://schemas.openxmlformats.org/officeDocument/2006/relationships/hyperlink" Target="http://databaze-strategie.cz/cz/mv/strategie/koncepce-ochrany-obyvatelstva-do-roku-2020-s-vyhledem-do-roku-2030" TargetMode="External"/><Relationship Id="rId25" Type="http://schemas.openxmlformats.org/officeDocument/2006/relationships/hyperlink" Target="http://www.hzscr.cz/clanek/dokumenty-ke-stazeni.asp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hzscr.cz/clanek/ochrana-obyvatelstva-v-ceske-republice.aspx" TargetMode="External"/><Relationship Id="rId20" Type="http://schemas.openxmlformats.org/officeDocument/2006/relationships/hyperlink" Target="http://databaze-strategie.cz/cz/mmr/strategie/politika-uzemniho-rozvoje-cr-2008" TargetMode="External"/><Relationship Id="rId29" Type="http://schemas.openxmlformats.org/officeDocument/2006/relationships/hyperlink" Target="http://www.hzscr.cz/clanek/krizovy-plan-jihoceskeho-kraje.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pdr.org/participate/danube_river_basin_management_plan" TargetMode="External"/><Relationship Id="rId24" Type="http://schemas.openxmlformats.org/officeDocument/2006/relationships/hyperlink" Target="http://www.hzscr.cz/clanek/vzdelavani-v-oblasti-krizoveho-rizeni.aspx" TargetMode="External"/><Relationship Id="rId32" Type="http://schemas.openxmlformats.org/officeDocument/2006/relationships/hyperlink" Target="http://www.c-budejovice.cz/cz/mesto/krizove-rizeni/stranky/krizova-dokumentace-a-plany.aspx" TargetMode="External"/><Relationship Id="rId5" Type="http://schemas.openxmlformats.org/officeDocument/2006/relationships/webSettings" Target="webSettings.xml"/><Relationship Id="rId15" Type="http://schemas.openxmlformats.org/officeDocument/2006/relationships/hyperlink" Target="http://www.mzp.cz/cz/plany_oblasti_povodi" TargetMode="External"/><Relationship Id="rId23" Type="http://schemas.openxmlformats.org/officeDocument/2006/relationships/hyperlink" Target="http://www.meteoalarm.eu/" TargetMode="External"/><Relationship Id="rId28" Type="http://schemas.openxmlformats.org/officeDocument/2006/relationships/hyperlink" Target="http://portal.chmi.cz/portal/dt?portal_lang=cs&amp;menu=JSPTabContainer/P4_Historicka_data/P4_1_Pocasi/P4_1_10_Zmena_klimatu/P4_1_10_6_Projekt_VaV&amp;last=false" TargetMode="External"/><Relationship Id="rId10" Type="http://schemas.openxmlformats.org/officeDocument/2006/relationships/hyperlink" Target="http://www.mzp.cz/cz/mapy_povodnoveho_nebezpeci_rizik_odkaz" TargetMode="External"/><Relationship Id="rId19" Type="http://schemas.openxmlformats.org/officeDocument/2006/relationships/hyperlink" Target="http://www.mmr.cz/cs/Stavebni-rad-a-bytova-politika/Uzemni-planovani-a-stavebni-rad/Koncepce-Strategie/Politika-uzemniho-rozvoje-Ceske-republiky" TargetMode="External"/><Relationship Id="rId31" Type="http://schemas.openxmlformats.org/officeDocument/2006/relationships/hyperlink" Target="http://www.olomouc.eu/obcan/bezpecnost/krizove-rizeni/krizovy-pla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zp.cz/cz/plany_narodnich_casti_mezinarodnich_povodi" TargetMode="External"/><Relationship Id="rId22" Type="http://schemas.openxmlformats.org/officeDocument/2006/relationships/hyperlink" Target="http://hydro.chmi.cz/hpps/" TargetMode="External"/><Relationship Id="rId27" Type="http://schemas.openxmlformats.org/officeDocument/2006/relationships/hyperlink" Target="http://krizport.firebrno.cz/dokumenty/zasady-pro-pripravu-a-provedeni-cviceni-organu-krizoveho" TargetMode="External"/><Relationship Id="rId30" Type="http://schemas.openxmlformats.org/officeDocument/2006/relationships/hyperlink" Target="http://www.hzscr.cz/clanek/dokumentace-havarijni-a-krizove-pripravenosti.asp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6EA66-7B3D-43CA-903A-6BB1BF051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12</Pages>
  <Words>3722</Words>
  <Characters>21964</Characters>
  <Application>Microsoft Office Word</Application>
  <DocSecurity>0</DocSecurity>
  <Lines>183</Lines>
  <Paragraphs>51</Paragraphs>
  <ScaleCrop>false</ScaleCrop>
  <HeadingPairs>
    <vt:vector size="4" baseType="variant">
      <vt:variant>
        <vt:lpstr>Název</vt:lpstr>
      </vt:variant>
      <vt:variant>
        <vt:i4>1</vt:i4>
      </vt:variant>
      <vt:variant>
        <vt:lpstr>Nadpisy</vt:lpstr>
      </vt:variant>
      <vt:variant>
        <vt:i4>2</vt:i4>
      </vt:variant>
    </vt:vector>
  </HeadingPairs>
  <TitlesOfParts>
    <vt:vector size="3" baseType="lpstr">
      <vt:lpstr/>
      <vt:lpstr>Akční plán pro tematickou předběžnou podmínku v gesci MŽP „Předcházení riziku a </vt:lpstr>
      <vt:lpstr>    </vt:lpstr>
    </vt:vector>
  </TitlesOfParts>
  <Company>MZPCR</Company>
  <LinksUpToDate>false</LinksUpToDate>
  <CharactersWithSpaces>25635</CharactersWithSpaces>
  <SharedDoc>false</SharedDoc>
  <HLinks>
    <vt:vector size="126" baseType="variant">
      <vt:variant>
        <vt:i4>1114116</vt:i4>
      </vt:variant>
      <vt:variant>
        <vt:i4>60</vt:i4>
      </vt:variant>
      <vt:variant>
        <vt:i4>0</vt:i4>
      </vt:variant>
      <vt:variant>
        <vt:i4>5</vt:i4>
      </vt:variant>
      <vt:variant>
        <vt:lpwstr>http://www.hzscr.cz/clanek/dokumentace-havarijni-a-krizove-pripravenosti.aspx</vt:lpwstr>
      </vt:variant>
      <vt:variant>
        <vt:lpwstr/>
      </vt:variant>
      <vt:variant>
        <vt:i4>4128866</vt:i4>
      </vt:variant>
      <vt:variant>
        <vt:i4>57</vt:i4>
      </vt:variant>
      <vt:variant>
        <vt:i4>0</vt:i4>
      </vt:variant>
      <vt:variant>
        <vt:i4>5</vt:i4>
      </vt:variant>
      <vt:variant>
        <vt:lpwstr>http://www.hzscr.cz/clanek/krizovy-plan-jihoceskeho-kraje.aspx</vt:lpwstr>
      </vt:variant>
      <vt:variant>
        <vt:lpwstr/>
      </vt:variant>
      <vt:variant>
        <vt:i4>3473506</vt:i4>
      </vt:variant>
      <vt:variant>
        <vt:i4>54</vt:i4>
      </vt:variant>
      <vt:variant>
        <vt:i4>0</vt:i4>
      </vt:variant>
      <vt:variant>
        <vt:i4>5</vt:i4>
      </vt:variant>
      <vt:variant>
        <vt:lpwstr>http://portal.chmi.cz/portal/dt?portal_lang=cs&amp;menu=JSPTabContainer/P4_Historicka_data/P4_1_Pocasi/P4_1_10_Zmena_klimatu/P4_1_10_6_Projekt_VaV&amp;last=false</vt:lpwstr>
      </vt:variant>
      <vt:variant>
        <vt:lpwstr/>
      </vt:variant>
      <vt:variant>
        <vt:i4>7536742</vt:i4>
      </vt:variant>
      <vt:variant>
        <vt:i4>51</vt:i4>
      </vt:variant>
      <vt:variant>
        <vt:i4>0</vt:i4>
      </vt:variant>
      <vt:variant>
        <vt:i4>5</vt:i4>
      </vt:variant>
      <vt:variant>
        <vt:lpwstr>http://krizport.firebrno.cz/dokumenty/zasady-pro-pripravu-a-provedeni-cviceni-organu-krizoveho</vt:lpwstr>
      </vt:variant>
      <vt:variant>
        <vt:lpwstr/>
      </vt:variant>
      <vt:variant>
        <vt:i4>6357104</vt:i4>
      </vt:variant>
      <vt:variant>
        <vt:i4>48</vt:i4>
      </vt:variant>
      <vt:variant>
        <vt:i4>0</vt:i4>
      </vt:variant>
      <vt:variant>
        <vt:i4>5</vt:i4>
      </vt:variant>
      <vt:variant>
        <vt:lpwstr>http://krizport.firebrno.cz/dokumenty/seznam-prehled-metodik-pro-analyzu-rizik</vt:lpwstr>
      </vt:variant>
      <vt:variant>
        <vt:lpwstr/>
      </vt:variant>
      <vt:variant>
        <vt:i4>1114137</vt:i4>
      </vt:variant>
      <vt:variant>
        <vt:i4>45</vt:i4>
      </vt:variant>
      <vt:variant>
        <vt:i4>0</vt:i4>
      </vt:variant>
      <vt:variant>
        <vt:i4>5</vt:i4>
      </vt:variant>
      <vt:variant>
        <vt:lpwstr>http://www.hzscr.cz/clanek/dokumenty-ke-stazeni.aspx</vt:lpwstr>
      </vt:variant>
      <vt:variant>
        <vt:lpwstr/>
      </vt:variant>
      <vt:variant>
        <vt:i4>1310736</vt:i4>
      </vt:variant>
      <vt:variant>
        <vt:i4>42</vt:i4>
      </vt:variant>
      <vt:variant>
        <vt:i4>0</vt:i4>
      </vt:variant>
      <vt:variant>
        <vt:i4>5</vt:i4>
      </vt:variant>
      <vt:variant>
        <vt:lpwstr>http://www.hzscr.cz/clanek/vzdelavani-v-oblasti-krizoveho-rizeni.aspx</vt:lpwstr>
      </vt:variant>
      <vt:variant>
        <vt:lpwstr/>
      </vt:variant>
      <vt:variant>
        <vt:i4>1572952</vt:i4>
      </vt:variant>
      <vt:variant>
        <vt:i4>39</vt:i4>
      </vt:variant>
      <vt:variant>
        <vt:i4>0</vt:i4>
      </vt:variant>
      <vt:variant>
        <vt:i4>5</vt:i4>
      </vt:variant>
      <vt:variant>
        <vt:lpwstr>http://www.meteoalarm.eu/</vt:lpwstr>
      </vt:variant>
      <vt:variant>
        <vt:lpwstr/>
      </vt:variant>
      <vt:variant>
        <vt:i4>2424930</vt:i4>
      </vt:variant>
      <vt:variant>
        <vt:i4>36</vt:i4>
      </vt:variant>
      <vt:variant>
        <vt:i4>0</vt:i4>
      </vt:variant>
      <vt:variant>
        <vt:i4>5</vt:i4>
      </vt:variant>
      <vt:variant>
        <vt:lpwstr>http://hydro.chmi.cz/hpps/</vt:lpwstr>
      </vt:variant>
      <vt:variant>
        <vt:lpwstr/>
      </vt:variant>
      <vt:variant>
        <vt:i4>2097278</vt:i4>
      </vt:variant>
      <vt:variant>
        <vt:i4>33</vt:i4>
      </vt:variant>
      <vt:variant>
        <vt:i4>0</vt:i4>
      </vt:variant>
      <vt:variant>
        <vt:i4>5</vt:i4>
      </vt:variant>
      <vt:variant>
        <vt:lpwstr>http://portal.chmi.cz/files/portal/docs/meteo/om/sivs/sivs.html</vt:lpwstr>
      </vt:variant>
      <vt:variant>
        <vt:lpwstr/>
      </vt:variant>
      <vt:variant>
        <vt:i4>6291559</vt:i4>
      </vt:variant>
      <vt:variant>
        <vt:i4>30</vt:i4>
      </vt:variant>
      <vt:variant>
        <vt:i4>0</vt:i4>
      </vt:variant>
      <vt:variant>
        <vt:i4>5</vt:i4>
      </vt:variant>
      <vt:variant>
        <vt:lpwstr>http://databaze-strategie.cz/cz/mmr/strategie/politika-uzemniho-rozvoje-cr-2008</vt:lpwstr>
      </vt:variant>
      <vt:variant>
        <vt:lpwstr/>
      </vt:variant>
      <vt:variant>
        <vt:i4>4194313</vt:i4>
      </vt:variant>
      <vt:variant>
        <vt:i4>27</vt:i4>
      </vt:variant>
      <vt:variant>
        <vt:i4>0</vt:i4>
      </vt:variant>
      <vt:variant>
        <vt:i4>5</vt:i4>
      </vt:variant>
      <vt:variant>
        <vt:lpwstr>http://www.mmr.cz/cs/Stavebni-rad-a-bytova-politika/Uzemni-planovani-a-stavebni-rad/Koncepce-Strategie/Politika-uzemniho-rozvoje-Ceske-republiky</vt:lpwstr>
      </vt:variant>
      <vt:variant>
        <vt:lpwstr/>
      </vt:variant>
      <vt:variant>
        <vt:i4>4063240</vt:i4>
      </vt:variant>
      <vt:variant>
        <vt:i4>24</vt:i4>
      </vt:variant>
      <vt:variant>
        <vt:i4>0</vt:i4>
      </vt:variant>
      <vt:variant>
        <vt:i4>5</vt:i4>
      </vt:variant>
      <vt:variant>
        <vt:lpwstr>http://www.mzp.cz/C1257458002F0DC7/cz/news_130108_Statni_politika_zivotniho_prostredi</vt:lpwstr>
      </vt:variant>
      <vt:variant>
        <vt:lpwstr/>
      </vt:variant>
      <vt:variant>
        <vt:i4>7733364</vt:i4>
      </vt:variant>
      <vt:variant>
        <vt:i4>21</vt:i4>
      </vt:variant>
      <vt:variant>
        <vt:i4>0</vt:i4>
      </vt:variant>
      <vt:variant>
        <vt:i4>5</vt:i4>
      </vt:variant>
      <vt:variant>
        <vt:lpwstr>http://databaze-strategie.cz/cz/mv/strategie/koncepce-ochrany-obyvatelstva-do-roku-2020-s-vyhledem-do-roku-2030</vt:lpwstr>
      </vt:variant>
      <vt:variant>
        <vt:lpwstr/>
      </vt:variant>
      <vt:variant>
        <vt:i4>7209056</vt:i4>
      </vt:variant>
      <vt:variant>
        <vt:i4>18</vt:i4>
      </vt:variant>
      <vt:variant>
        <vt:i4>0</vt:i4>
      </vt:variant>
      <vt:variant>
        <vt:i4>5</vt:i4>
      </vt:variant>
      <vt:variant>
        <vt:lpwstr>http://www.hzscr.cz/clanek/ochrana-obyvatelstva-v-ceske-republice.aspx</vt:lpwstr>
      </vt:variant>
      <vt:variant>
        <vt:lpwstr/>
      </vt:variant>
      <vt:variant>
        <vt:i4>1245255</vt:i4>
      </vt:variant>
      <vt:variant>
        <vt:i4>15</vt:i4>
      </vt:variant>
      <vt:variant>
        <vt:i4>0</vt:i4>
      </vt:variant>
      <vt:variant>
        <vt:i4>5</vt:i4>
      </vt:variant>
      <vt:variant>
        <vt:lpwstr>http://www.mzp.cz/cz/plany_oblasti_povodi</vt:lpwstr>
      </vt:variant>
      <vt:variant>
        <vt:lpwstr/>
      </vt:variant>
      <vt:variant>
        <vt:i4>6553641</vt:i4>
      </vt:variant>
      <vt:variant>
        <vt:i4>12</vt:i4>
      </vt:variant>
      <vt:variant>
        <vt:i4>0</vt:i4>
      </vt:variant>
      <vt:variant>
        <vt:i4>5</vt:i4>
      </vt:variant>
      <vt:variant>
        <vt:lpwstr>http://www.mzp.cz/cz/plany_narodnich_casti_mezinarodnich_povodi</vt:lpwstr>
      </vt:variant>
      <vt:variant>
        <vt:lpwstr/>
      </vt:variant>
      <vt:variant>
        <vt:i4>2031703</vt:i4>
      </vt:variant>
      <vt:variant>
        <vt:i4>9</vt:i4>
      </vt:variant>
      <vt:variant>
        <vt:i4>0</vt:i4>
      </vt:variant>
      <vt:variant>
        <vt:i4>5</vt:i4>
      </vt:variant>
      <vt:variant>
        <vt:lpwstr>http://www.mkoo.pl/show.php?fid=2808&amp;lang=CZ</vt:lpwstr>
      </vt:variant>
      <vt:variant>
        <vt:lpwstr/>
      </vt:variant>
      <vt:variant>
        <vt:i4>1572947</vt:i4>
      </vt:variant>
      <vt:variant>
        <vt:i4>6</vt:i4>
      </vt:variant>
      <vt:variant>
        <vt:i4>0</vt:i4>
      </vt:variant>
      <vt:variant>
        <vt:i4>5</vt:i4>
      </vt:variant>
      <vt:variant>
        <vt:lpwstr>http://www.ikse-mkol.org/index.php?id=513&amp;L=1</vt:lpwstr>
      </vt:variant>
      <vt:variant>
        <vt:lpwstr/>
      </vt:variant>
      <vt:variant>
        <vt:i4>1572949</vt:i4>
      </vt:variant>
      <vt:variant>
        <vt:i4>3</vt:i4>
      </vt:variant>
      <vt:variant>
        <vt:i4>0</vt:i4>
      </vt:variant>
      <vt:variant>
        <vt:i4>5</vt:i4>
      </vt:variant>
      <vt:variant>
        <vt:lpwstr>http://www.icpdr.org/participate/danube_river_basin_management_plan</vt:lpwstr>
      </vt:variant>
      <vt:variant>
        <vt:lpwstr/>
      </vt:variant>
      <vt:variant>
        <vt:i4>8060976</vt:i4>
      </vt:variant>
      <vt:variant>
        <vt:i4>0</vt:i4>
      </vt:variant>
      <vt:variant>
        <vt:i4>0</vt:i4>
      </vt:variant>
      <vt:variant>
        <vt:i4>5</vt:i4>
      </vt:variant>
      <vt:variant>
        <vt:lpwstr>http://www.mzp.cz/cz/mapy_povodnoveho_nebezpeci_rizik_odkaz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Kristýna Bláhová</cp:lastModifiedBy>
  <cp:revision>22</cp:revision>
  <cp:lastPrinted>2014-08-20T11:11:00Z</cp:lastPrinted>
  <dcterms:created xsi:type="dcterms:W3CDTF">2015-01-27T18:43:00Z</dcterms:created>
  <dcterms:modified xsi:type="dcterms:W3CDTF">2015-04-23T14:23:00Z</dcterms:modified>
</cp:coreProperties>
</file>